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3028B6" w14:textId="77777777" w:rsidR="00EC297E" w:rsidRDefault="00000000">
      <w:pPr>
        <w:spacing w:line="560" w:lineRule="exact"/>
        <w:ind w:firstLine="0"/>
        <w:rPr>
          <w:rFonts w:ascii="黑体" w:eastAsia="黑体" w:hAnsi="黑体" w:cs="黑体"/>
          <w:spacing w:val="-12"/>
          <w:sz w:val="32"/>
          <w:szCs w:val="32"/>
        </w:rPr>
      </w:pPr>
      <w:r>
        <w:rPr>
          <w:rFonts w:ascii="黑体" w:eastAsia="黑体" w:hAnsi="黑体" w:cs="黑体" w:hint="eastAsia"/>
          <w:spacing w:val="-12"/>
          <w:sz w:val="32"/>
          <w:szCs w:val="32"/>
        </w:rPr>
        <w:t>附件</w:t>
      </w:r>
      <w:r>
        <w:rPr>
          <w:rFonts w:ascii="黑体" w:eastAsia="黑体" w:hAnsi="黑体" w:cs="黑体"/>
          <w:spacing w:val="-12"/>
          <w:sz w:val="32"/>
          <w:szCs w:val="32"/>
        </w:rPr>
        <w:t>1</w:t>
      </w:r>
    </w:p>
    <w:p w14:paraId="2996A975" w14:textId="77777777" w:rsidR="00EC297E" w:rsidRDefault="00EC297E">
      <w:pPr>
        <w:pStyle w:val="2"/>
        <w:spacing w:line="560" w:lineRule="exact"/>
      </w:pPr>
    </w:p>
    <w:p w14:paraId="13EFB118" w14:textId="77777777" w:rsidR="00EC297E" w:rsidRDefault="00000000">
      <w:pPr>
        <w:spacing w:line="560" w:lineRule="exact"/>
        <w:ind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中医适宜技术防控儿童青少年近视试点工作</w:t>
      </w:r>
    </w:p>
    <w:p w14:paraId="6D69930C" w14:textId="77777777" w:rsidR="00EC297E" w:rsidRDefault="00000000">
      <w:pPr>
        <w:spacing w:line="560" w:lineRule="exact"/>
        <w:ind w:firstLine="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评估指标体系</w:t>
      </w:r>
    </w:p>
    <w:p w14:paraId="063B2F72" w14:textId="77777777" w:rsidR="00EC297E" w:rsidRDefault="00EC297E">
      <w:pPr>
        <w:pStyle w:val="2"/>
        <w:spacing w:line="560" w:lineRule="exact"/>
      </w:pPr>
    </w:p>
    <w:tbl>
      <w:tblPr>
        <w:tblW w:w="10037" w:type="dxa"/>
        <w:jc w:val="center"/>
        <w:tblLook w:val="04A0" w:firstRow="1" w:lastRow="0" w:firstColumn="1" w:lastColumn="0" w:noHBand="0" w:noVBand="1"/>
      </w:tblPr>
      <w:tblGrid>
        <w:gridCol w:w="1142"/>
        <w:gridCol w:w="3443"/>
        <w:gridCol w:w="650"/>
        <w:gridCol w:w="4802"/>
      </w:tblGrid>
      <w:tr w:rsidR="00EC297E" w14:paraId="29F01177" w14:textId="77777777">
        <w:trPr>
          <w:trHeight w:val="607"/>
          <w:jc w:val="center"/>
        </w:trPr>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14:paraId="2797D419" w14:textId="77777777" w:rsidR="00EC297E"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指标</w:t>
            </w:r>
            <w:r>
              <w:rPr>
                <w:rFonts w:ascii="仿宋_GB2312" w:hAnsi="等线" w:cs="宋体" w:hint="eastAsia"/>
                <w:b/>
                <w:bCs/>
                <w:kern w:val="0"/>
                <w:sz w:val="21"/>
                <w:szCs w:val="21"/>
              </w:rPr>
              <w:br/>
              <w:t>（总分）</w:t>
            </w:r>
          </w:p>
        </w:tc>
        <w:tc>
          <w:tcPr>
            <w:tcW w:w="3443" w:type="dxa"/>
            <w:tcBorders>
              <w:top w:val="single" w:sz="4" w:space="0" w:color="auto"/>
              <w:left w:val="nil"/>
              <w:bottom w:val="single" w:sz="4" w:space="0" w:color="auto"/>
              <w:right w:val="single" w:sz="4" w:space="0" w:color="auto"/>
            </w:tcBorders>
            <w:shd w:val="clear" w:color="auto" w:fill="auto"/>
            <w:vAlign w:val="center"/>
          </w:tcPr>
          <w:p w14:paraId="06B098F4" w14:textId="77777777" w:rsidR="00EC297E"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指标内容</w:t>
            </w:r>
          </w:p>
        </w:tc>
        <w:tc>
          <w:tcPr>
            <w:tcW w:w="650" w:type="dxa"/>
            <w:tcBorders>
              <w:top w:val="single" w:sz="4" w:space="0" w:color="auto"/>
              <w:left w:val="nil"/>
              <w:bottom w:val="single" w:sz="4" w:space="0" w:color="auto"/>
              <w:right w:val="single" w:sz="4" w:space="0" w:color="auto"/>
            </w:tcBorders>
            <w:shd w:val="clear" w:color="auto" w:fill="auto"/>
            <w:vAlign w:val="center"/>
          </w:tcPr>
          <w:p w14:paraId="3FE88243" w14:textId="77777777" w:rsidR="00EC297E"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分值</w:t>
            </w:r>
          </w:p>
        </w:tc>
        <w:tc>
          <w:tcPr>
            <w:tcW w:w="4802" w:type="dxa"/>
            <w:tcBorders>
              <w:top w:val="single" w:sz="4" w:space="0" w:color="auto"/>
              <w:left w:val="nil"/>
              <w:bottom w:val="single" w:sz="4" w:space="0" w:color="auto"/>
              <w:right w:val="single" w:sz="4" w:space="0" w:color="auto"/>
            </w:tcBorders>
            <w:shd w:val="clear" w:color="auto" w:fill="auto"/>
            <w:vAlign w:val="center"/>
          </w:tcPr>
          <w:p w14:paraId="55DA11F7" w14:textId="77777777" w:rsidR="00EC297E"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评分细则</w:t>
            </w:r>
            <w:r>
              <w:rPr>
                <w:rFonts w:ascii="仿宋_GB2312" w:hAnsi="等线" w:cs="宋体" w:hint="eastAsia"/>
                <w:b/>
                <w:bCs/>
                <w:kern w:val="0"/>
                <w:sz w:val="21"/>
                <w:szCs w:val="21"/>
              </w:rPr>
              <w:br/>
            </w:r>
            <w:r>
              <w:rPr>
                <w:rFonts w:ascii="仿宋_GB2312" w:hAnsi="等线" w:cs="宋体" w:hint="eastAsia"/>
                <w:b/>
                <w:bCs/>
                <w:kern w:val="0"/>
                <w:sz w:val="18"/>
                <w:szCs w:val="18"/>
              </w:rPr>
              <w:t>（满足以下要求得分，否则不得分；要素不全酌情扣分）</w:t>
            </w:r>
          </w:p>
        </w:tc>
      </w:tr>
      <w:tr w:rsidR="00EC297E" w14:paraId="2C9B6B74" w14:textId="77777777">
        <w:trPr>
          <w:trHeight w:val="1461"/>
          <w:jc w:val="center"/>
        </w:trPr>
        <w:tc>
          <w:tcPr>
            <w:tcW w:w="1142" w:type="dxa"/>
            <w:vMerge w:val="restart"/>
            <w:tcBorders>
              <w:top w:val="nil"/>
              <w:left w:val="single" w:sz="4" w:space="0" w:color="auto"/>
              <w:bottom w:val="single" w:sz="4" w:space="0" w:color="auto"/>
              <w:right w:val="single" w:sz="4" w:space="0" w:color="auto"/>
            </w:tcBorders>
            <w:shd w:val="clear" w:color="auto" w:fill="auto"/>
            <w:vAlign w:val="center"/>
          </w:tcPr>
          <w:p w14:paraId="79DAC8CF"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试点工作组织管理（2</w:t>
            </w:r>
            <w:r>
              <w:rPr>
                <w:rFonts w:ascii="仿宋_GB2312" w:hAnsi="等线" w:cs="宋体"/>
                <w:kern w:val="0"/>
                <w:sz w:val="21"/>
                <w:szCs w:val="21"/>
              </w:rPr>
              <w:t>5</w:t>
            </w:r>
            <w:r>
              <w:rPr>
                <w:rFonts w:ascii="仿宋_GB2312" w:hAnsi="等线" w:cs="宋体" w:hint="eastAsia"/>
                <w:kern w:val="0"/>
                <w:sz w:val="21"/>
                <w:szCs w:val="21"/>
              </w:rPr>
              <w:t>分）</w:t>
            </w:r>
          </w:p>
        </w:tc>
        <w:tc>
          <w:tcPr>
            <w:tcW w:w="3443" w:type="dxa"/>
            <w:tcBorders>
              <w:top w:val="nil"/>
              <w:left w:val="nil"/>
              <w:bottom w:val="single" w:sz="4" w:space="0" w:color="auto"/>
              <w:right w:val="single" w:sz="4" w:space="0" w:color="auto"/>
            </w:tcBorders>
            <w:shd w:val="clear" w:color="auto" w:fill="auto"/>
            <w:vAlign w:val="center"/>
          </w:tcPr>
          <w:p w14:paraId="5956B172"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成立试点工作领导小组，明确工作目标、部门职责、任务分工，召开专题会议。</w:t>
            </w:r>
          </w:p>
        </w:tc>
        <w:tc>
          <w:tcPr>
            <w:tcW w:w="650" w:type="dxa"/>
            <w:tcBorders>
              <w:top w:val="nil"/>
              <w:left w:val="nil"/>
              <w:bottom w:val="single" w:sz="4" w:space="0" w:color="auto"/>
              <w:right w:val="single" w:sz="4" w:space="0" w:color="auto"/>
            </w:tcBorders>
            <w:shd w:val="clear" w:color="auto" w:fill="auto"/>
            <w:vAlign w:val="center"/>
          </w:tcPr>
          <w:p w14:paraId="6DE2532E"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7</w:t>
            </w:r>
          </w:p>
        </w:tc>
        <w:tc>
          <w:tcPr>
            <w:tcW w:w="4802" w:type="dxa"/>
            <w:tcBorders>
              <w:top w:val="nil"/>
              <w:left w:val="nil"/>
              <w:bottom w:val="single" w:sz="4" w:space="0" w:color="auto"/>
              <w:right w:val="single" w:sz="4" w:space="0" w:color="auto"/>
            </w:tcBorders>
            <w:shd w:val="clear" w:color="auto" w:fill="auto"/>
            <w:vAlign w:val="center"/>
          </w:tcPr>
          <w:p w14:paraId="1E9DF3B7" w14:textId="77777777" w:rsidR="00EC297E" w:rsidRDefault="00000000">
            <w:pPr>
              <w:widowControl/>
              <w:spacing w:line="240" w:lineRule="auto"/>
              <w:ind w:firstLine="0"/>
              <w:jc w:val="left"/>
              <w:rPr>
                <w:rFonts w:ascii="仿宋_GB2312" w:hAnsi="等线" w:cs="宋体"/>
                <w:kern w:val="0"/>
                <w:sz w:val="21"/>
                <w:szCs w:val="21"/>
              </w:rPr>
            </w:pPr>
            <w:r>
              <w:rPr>
                <w:rFonts w:ascii="仿宋_GB2312" w:hAnsi="等线" w:cs="宋体" w:hint="eastAsia"/>
                <w:kern w:val="0"/>
                <w:sz w:val="21"/>
                <w:szCs w:val="21"/>
              </w:rPr>
              <w:t>1.成立试点工作领导小组，得2分。</w:t>
            </w:r>
            <w:r>
              <w:rPr>
                <w:rFonts w:ascii="仿宋_GB2312" w:hAnsi="等线" w:cs="宋体" w:hint="eastAsia"/>
                <w:kern w:val="0"/>
                <w:sz w:val="21"/>
                <w:szCs w:val="21"/>
              </w:rPr>
              <w:br/>
              <w:t>2.明确试点工作领导小组工作目标、部门职责、任务分工，得1分。</w:t>
            </w:r>
            <w:r>
              <w:rPr>
                <w:rFonts w:ascii="仿宋_GB2312" w:hAnsi="等线" w:cs="宋体" w:hint="eastAsia"/>
                <w:kern w:val="0"/>
                <w:sz w:val="21"/>
                <w:szCs w:val="21"/>
              </w:rPr>
              <w:br/>
              <w:t>3.试点工作领导小组召开2次以上专题工作会议，得</w:t>
            </w:r>
            <w:r>
              <w:rPr>
                <w:rFonts w:ascii="仿宋_GB2312" w:hAnsi="等线" w:cs="宋体"/>
                <w:kern w:val="0"/>
                <w:sz w:val="21"/>
                <w:szCs w:val="21"/>
              </w:rPr>
              <w:t>4</w:t>
            </w:r>
            <w:r>
              <w:rPr>
                <w:rFonts w:ascii="仿宋_GB2312" w:hAnsi="等线" w:cs="宋体" w:hint="eastAsia"/>
                <w:kern w:val="0"/>
                <w:sz w:val="21"/>
                <w:szCs w:val="21"/>
              </w:rPr>
              <w:t>分。</w:t>
            </w:r>
          </w:p>
        </w:tc>
      </w:tr>
      <w:tr w:rsidR="00EC297E" w14:paraId="7053E034" w14:textId="77777777">
        <w:trPr>
          <w:trHeight w:val="1519"/>
          <w:jc w:val="center"/>
        </w:trPr>
        <w:tc>
          <w:tcPr>
            <w:tcW w:w="1142" w:type="dxa"/>
            <w:vMerge/>
            <w:tcBorders>
              <w:top w:val="nil"/>
              <w:left w:val="single" w:sz="4" w:space="0" w:color="auto"/>
              <w:bottom w:val="single" w:sz="4" w:space="0" w:color="auto"/>
              <w:right w:val="single" w:sz="4" w:space="0" w:color="auto"/>
            </w:tcBorders>
            <w:vAlign w:val="center"/>
          </w:tcPr>
          <w:p w14:paraId="61760EEA"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092715AE"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建立多部门联动、监督、考核评估等相关工作机制，多部门协调解决试点工作问题困难，定期开展督导、考核评估及总结工作。</w:t>
            </w:r>
          </w:p>
        </w:tc>
        <w:tc>
          <w:tcPr>
            <w:tcW w:w="650" w:type="dxa"/>
            <w:tcBorders>
              <w:top w:val="nil"/>
              <w:left w:val="nil"/>
              <w:bottom w:val="single" w:sz="4" w:space="0" w:color="auto"/>
              <w:right w:val="single" w:sz="4" w:space="0" w:color="auto"/>
            </w:tcBorders>
            <w:shd w:val="clear" w:color="auto" w:fill="auto"/>
            <w:vAlign w:val="center"/>
          </w:tcPr>
          <w:p w14:paraId="3B77728D"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6</w:t>
            </w:r>
          </w:p>
        </w:tc>
        <w:tc>
          <w:tcPr>
            <w:tcW w:w="4802" w:type="dxa"/>
            <w:tcBorders>
              <w:top w:val="nil"/>
              <w:left w:val="nil"/>
              <w:bottom w:val="single" w:sz="4" w:space="0" w:color="auto"/>
              <w:right w:val="single" w:sz="4" w:space="0" w:color="auto"/>
            </w:tcBorders>
            <w:shd w:val="clear" w:color="auto" w:fill="auto"/>
            <w:vAlign w:val="center"/>
          </w:tcPr>
          <w:p w14:paraId="707269DB"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1.建立多部门联动、监督、考核评估等相关工作机制，得2分。</w:t>
            </w:r>
            <w:r>
              <w:rPr>
                <w:rFonts w:ascii="仿宋_GB2312" w:hAnsi="等线" w:cs="宋体" w:hint="eastAsia"/>
                <w:kern w:val="0"/>
                <w:sz w:val="21"/>
                <w:szCs w:val="21"/>
              </w:rPr>
              <w:br/>
              <w:t>2.多部门协调解决试点工作问题困难，试点期间至少开展一次督导、考核评估工作，得2分。</w:t>
            </w:r>
            <w:r>
              <w:rPr>
                <w:rFonts w:ascii="仿宋_GB2312" w:hAnsi="等线" w:cs="宋体" w:hint="eastAsia"/>
                <w:kern w:val="0"/>
                <w:sz w:val="21"/>
                <w:szCs w:val="21"/>
              </w:rPr>
              <w:br/>
              <w:t>3.多部门协同至少开展一次总结工作，得2分。</w:t>
            </w:r>
          </w:p>
        </w:tc>
      </w:tr>
      <w:tr w:rsidR="00EC297E" w14:paraId="3029EFA3" w14:textId="77777777">
        <w:trPr>
          <w:trHeight w:val="1164"/>
          <w:jc w:val="center"/>
        </w:trPr>
        <w:tc>
          <w:tcPr>
            <w:tcW w:w="1142" w:type="dxa"/>
            <w:vMerge/>
            <w:tcBorders>
              <w:top w:val="nil"/>
              <w:left w:val="single" w:sz="4" w:space="0" w:color="auto"/>
              <w:bottom w:val="single" w:sz="4" w:space="0" w:color="auto"/>
              <w:right w:val="single" w:sz="4" w:space="0" w:color="auto"/>
            </w:tcBorders>
            <w:vAlign w:val="center"/>
          </w:tcPr>
          <w:p w14:paraId="5CCD2F96"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46A781B5"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根据试点区自身情况制定工作实施方案，并明确试点范围、干预人群、工作目标、主要任务、考核评估办法等内容。</w:t>
            </w:r>
          </w:p>
        </w:tc>
        <w:tc>
          <w:tcPr>
            <w:tcW w:w="650" w:type="dxa"/>
            <w:tcBorders>
              <w:top w:val="nil"/>
              <w:left w:val="nil"/>
              <w:bottom w:val="single" w:sz="4" w:space="0" w:color="auto"/>
              <w:right w:val="single" w:sz="4" w:space="0" w:color="auto"/>
            </w:tcBorders>
            <w:shd w:val="clear" w:color="auto" w:fill="auto"/>
            <w:vAlign w:val="center"/>
          </w:tcPr>
          <w:p w14:paraId="2327CC08"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5</w:t>
            </w:r>
          </w:p>
        </w:tc>
        <w:tc>
          <w:tcPr>
            <w:tcW w:w="4802" w:type="dxa"/>
            <w:tcBorders>
              <w:top w:val="nil"/>
              <w:left w:val="nil"/>
              <w:bottom w:val="single" w:sz="4" w:space="0" w:color="auto"/>
              <w:right w:val="single" w:sz="4" w:space="0" w:color="auto"/>
            </w:tcBorders>
            <w:shd w:val="clear" w:color="auto" w:fill="auto"/>
            <w:vAlign w:val="center"/>
          </w:tcPr>
          <w:p w14:paraId="48CB0920"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1.根据试点区自身情况制定工作实施方案，得2分。</w:t>
            </w:r>
            <w:r>
              <w:rPr>
                <w:rFonts w:ascii="仿宋_GB2312" w:hAnsi="等线" w:cs="宋体" w:hint="eastAsia"/>
                <w:kern w:val="0"/>
                <w:sz w:val="21"/>
                <w:szCs w:val="21"/>
              </w:rPr>
              <w:br/>
              <w:t>2.工作实施方案中明确了试点范围、干预人群、工作目标、主要任务、考核评估办法等内容，得3分。</w:t>
            </w:r>
          </w:p>
        </w:tc>
      </w:tr>
      <w:tr w:rsidR="00EC297E" w14:paraId="53CB71B7" w14:textId="77777777">
        <w:trPr>
          <w:trHeight w:val="662"/>
          <w:jc w:val="center"/>
        </w:trPr>
        <w:tc>
          <w:tcPr>
            <w:tcW w:w="1142" w:type="dxa"/>
            <w:vMerge/>
            <w:tcBorders>
              <w:top w:val="nil"/>
              <w:left w:val="single" w:sz="4" w:space="0" w:color="auto"/>
              <w:bottom w:val="single" w:sz="4" w:space="0" w:color="auto"/>
              <w:right w:val="single" w:sz="4" w:space="0" w:color="auto"/>
            </w:tcBorders>
            <w:vAlign w:val="center"/>
          </w:tcPr>
          <w:p w14:paraId="53DAFFFA"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139B09C4"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中医适宜技术防控儿童青少年近视试点工作列入年度重点工作计划。</w:t>
            </w:r>
          </w:p>
        </w:tc>
        <w:tc>
          <w:tcPr>
            <w:tcW w:w="650" w:type="dxa"/>
            <w:tcBorders>
              <w:top w:val="nil"/>
              <w:left w:val="nil"/>
              <w:bottom w:val="single" w:sz="4" w:space="0" w:color="auto"/>
              <w:right w:val="single" w:sz="4" w:space="0" w:color="auto"/>
            </w:tcBorders>
            <w:shd w:val="clear" w:color="auto" w:fill="auto"/>
            <w:vAlign w:val="center"/>
          </w:tcPr>
          <w:p w14:paraId="3DD265EA"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3</w:t>
            </w:r>
          </w:p>
        </w:tc>
        <w:tc>
          <w:tcPr>
            <w:tcW w:w="4802" w:type="dxa"/>
            <w:tcBorders>
              <w:top w:val="nil"/>
              <w:left w:val="nil"/>
              <w:bottom w:val="single" w:sz="4" w:space="0" w:color="auto"/>
              <w:right w:val="single" w:sz="4" w:space="0" w:color="auto"/>
            </w:tcBorders>
            <w:shd w:val="clear" w:color="auto" w:fill="auto"/>
            <w:vAlign w:val="center"/>
          </w:tcPr>
          <w:p w14:paraId="4B9CA74F"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将中医适宜技术防控儿童青少年近视试点工作列入试点县（市、区）年度重点工作计划，得</w:t>
            </w:r>
            <w:r>
              <w:rPr>
                <w:rFonts w:ascii="仿宋_GB2312" w:hAnsi="等线" w:cs="宋体"/>
                <w:kern w:val="0"/>
                <w:sz w:val="21"/>
                <w:szCs w:val="21"/>
              </w:rPr>
              <w:t>3</w:t>
            </w:r>
            <w:r>
              <w:rPr>
                <w:rFonts w:ascii="仿宋_GB2312" w:hAnsi="等线" w:cs="宋体" w:hint="eastAsia"/>
                <w:kern w:val="0"/>
                <w:sz w:val="21"/>
                <w:szCs w:val="21"/>
              </w:rPr>
              <w:t>分。</w:t>
            </w:r>
          </w:p>
        </w:tc>
      </w:tr>
      <w:tr w:rsidR="00EC297E" w14:paraId="3FE26812" w14:textId="77777777">
        <w:trPr>
          <w:trHeight w:val="1066"/>
          <w:jc w:val="center"/>
        </w:trPr>
        <w:tc>
          <w:tcPr>
            <w:tcW w:w="1142" w:type="dxa"/>
            <w:vMerge/>
            <w:tcBorders>
              <w:top w:val="nil"/>
              <w:left w:val="single" w:sz="4" w:space="0" w:color="auto"/>
              <w:bottom w:val="single" w:sz="4" w:space="0" w:color="auto"/>
              <w:right w:val="single" w:sz="4" w:space="0" w:color="auto"/>
            </w:tcBorders>
            <w:vAlign w:val="center"/>
          </w:tcPr>
          <w:p w14:paraId="3ED66886"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4274BDDD"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将中医适宜技术防控儿童青少年近视试点工作纳入综合防控儿童青少年近视工作和考核中统筹推进。</w:t>
            </w:r>
          </w:p>
        </w:tc>
        <w:tc>
          <w:tcPr>
            <w:tcW w:w="650" w:type="dxa"/>
            <w:tcBorders>
              <w:top w:val="nil"/>
              <w:left w:val="nil"/>
              <w:bottom w:val="single" w:sz="4" w:space="0" w:color="auto"/>
              <w:right w:val="single" w:sz="4" w:space="0" w:color="auto"/>
            </w:tcBorders>
            <w:shd w:val="clear" w:color="auto" w:fill="auto"/>
            <w:vAlign w:val="center"/>
          </w:tcPr>
          <w:p w14:paraId="13A49151"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4</w:t>
            </w:r>
          </w:p>
        </w:tc>
        <w:tc>
          <w:tcPr>
            <w:tcW w:w="4802" w:type="dxa"/>
            <w:tcBorders>
              <w:top w:val="nil"/>
              <w:left w:val="nil"/>
              <w:bottom w:val="single" w:sz="4" w:space="0" w:color="auto"/>
              <w:right w:val="single" w:sz="4" w:space="0" w:color="auto"/>
            </w:tcBorders>
            <w:shd w:val="clear" w:color="auto" w:fill="auto"/>
            <w:vAlign w:val="center"/>
          </w:tcPr>
          <w:p w14:paraId="2B679596"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在综合防控儿童青少年近视工作和考核中均体现将中医适宜技术防控儿童青少年近视试点工作相关内容，得4分。</w:t>
            </w:r>
          </w:p>
        </w:tc>
      </w:tr>
      <w:tr w:rsidR="00EC297E" w14:paraId="163EBE42" w14:textId="77777777">
        <w:trPr>
          <w:trHeight w:val="1249"/>
          <w:jc w:val="center"/>
        </w:trPr>
        <w:tc>
          <w:tcPr>
            <w:tcW w:w="1142" w:type="dxa"/>
            <w:vMerge w:val="restart"/>
            <w:tcBorders>
              <w:top w:val="single" w:sz="4" w:space="0" w:color="auto"/>
              <w:left w:val="single" w:sz="4" w:space="0" w:color="auto"/>
              <w:right w:val="single" w:sz="4" w:space="0" w:color="auto"/>
            </w:tcBorders>
            <w:shd w:val="clear" w:color="auto" w:fill="auto"/>
            <w:vAlign w:val="center"/>
          </w:tcPr>
          <w:p w14:paraId="6BBF4670"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儿童青少年近视防控综合管理（</w:t>
            </w:r>
            <w:r>
              <w:rPr>
                <w:rFonts w:ascii="仿宋_GB2312" w:hAnsi="等线" w:cs="宋体"/>
                <w:kern w:val="0"/>
                <w:sz w:val="21"/>
                <w:szCs w:val="21"/>
              </w:rPr>
              <w:t>4</w:t>
            </w:r>
            <w:r>
              <w:rPr>
                <w:rFonts w:ascii="仿宋_GB2312" w:hAnsi="等线" w:cs="宋体" w:hint="eastAsia"/>
                <w:kern w:val="0"/>
                <w:sz w:val="21"/>
                <w:szCs w:val="21"/>
              </w:rPr>
              <w:t>0分）</w:t>
            </w:r>
          </w:p>
        </w:tc>
        <w:tc>
          <w:tcPr>
            <w:tcW w:w="3443" w:type="dxa"/>
            <w:tcBorders>
              <w:top w:val="nil"/>
              <w:left w:val="nil"/>
              <w:bottom w:val="single" w:sz="4" w:space="0" w:color="auto"/>
              <w:right w:val="single" w:sz="4" w:space="0" w:color="auto"/>
            </w:tcBorders>
            <w:shd w:val="clear" w:color="auto" w:fill="auto"/>
            <w:vAlign w:val="center"/>
          </w:tcPr>
          <w:p w14:paraId="23FE36F7"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积极推进并落实试点工作任务，根据实施方案完成试点干预目标数量。</w:t>
            </w:r>
          </w:p>
        </w:tc>
        <w:tc>
          <w:tcPr>
            <w:tcW w:w="650" w:type="dxa"/>
            <w:tcBorders>
              <w:top w:val="nil"/>
              <w:left w:val="nil"/>
              <w:bottom w:val="single" w:sz="4" w:space="0" w:color="auto"/>
              <w:right w:val="single" w:sz="4" w:space="0" w:color="auto"/>
            </w:tcBorders>
            <w:shd w:val="clear" w:color="auto" w:fill="auto"/>
            <w:vAlign w:val="center"/>
          </w:tcPr>
          <w:p w14:paraId="6A8F7A5E"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10</w:t>
            </w:r>
          </w:p>
        </w:tc>
        <w:tc>
          <w:tcPr>
            <w:tcW w:w="4802" w:type="dxa"/>
            <w:tcBorders>
              <w:top w:val="nil"/>
              <w:left w:val="nil"/>
              <w:bottom w:val="single" w:sz="4" w:space="0" w:color="auto"/>
              <w:right w:val="single" w:sz="4" w:space="0" w:color="auto"/>
            </w:tcBorders>
            <w:shd w:val="clear" w:color="auto" w:fill="auto"/>
            <w:vAlign w:val="center"/>
          </w:tcPr>
          <w:p w14:paraId="1D5663C8"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1.积极推进并落实试点工作任务，得2分。</w:t>
            </w:r>
            <w:r>
              <w:rPr>
                <w:rFonts w:ascii="仿宋_GB2312" w:hAnsi="等线" w:cs="宋体" w:hint="eastAsia"/>
                <w:kern w:val="0"/>
                <w:sz w:val="21"/>
                <w:szCs w:val="21"/>
              </w:rPr>
              <w:br/>
              <w:t>2.根据实施方案完成或超额试点干预目标数量，得</w:t>
            </w:r>
            <w:r>
              <w:rPr>
                <w:rFonts w:ascii="仿宋_GB2312" w:hAnsi="等线" w:cs="宋体"/>
                <w:kern w:val="0"/>
                <w:sz w:val="21"/>
                <w:szCs w:val="21"/>
              </w:rPr>
              <w:t>8</w:t>
            </w:r>
            <w:r>
              <w:rPr>
                <w:rFonts w:ascii="仿宋_GB2312" w:hAnsi="等线" w:cs="宋体" w:hint="eastAsia"/>
                <w:kern w:val="0"/>
                <w:sz w:val="21"/>
                <w:szCs w:val="21"/>
              </w:rPr>
              <w:t>分；完成干预目标数量80%以上，得</w:t>
            </w:r>
            <w:r>
              <w:rPr>
                <w:rFonts w:ascii="仿宋_GB2312" w:hAnsi="等线" w:cs="宋体"/>
                <w:kern w:val="0"/>
                <w:sz w:val="21"/>
                <w:szCs w:val="21"/>
              </w:rPr>
              <w:t>4</w:t>
            </w:r>
            <w:r>
              <w:rPr>
                <w:rFonts w:ascii="仿宋_GB2312" w:hAnsi="等线" w:cs="宋体" w:hint="eastAsia"/>
                <w:kern w:val="0"/>
                <w:sz w:val="21"/>
                <w:szCs w:val="21"/>
              </w:rPr>
              <w:t>分；80%以下不得分。</w:t>
            </w:r>
          </w:p>
        </w:tc>
      </w:tr>
      <w:tr w:rsidR="00EC297E" w14:paraId="5AE7B826" w14:textId="77777777">
        <w:trPr>
          <w:trHeight w:val="1881"/>
          <w:jc w:val="center"/>
        </w:trPr>
        <w:tc>
          <w:tcPr>
            <w:tcW w:w="1142" w:type="dxa"/>
            <w:vMerge/>
            <w:tcBorders>
              <w:left w:val="single" w:sz="4" w:space="0" w:color="auto"/>
              <w:bottom w:val="single" w:sz="4" w:space="0" w:color="auto"/>
              <w:right w:val="single" w:sz="4" w:space="0" w:color="auto"/>
            </w:tcBorders>
            <w:shd w:val="clear" w:color="auto" w:fill="auto"/>
            <w:vAlign w:val="center"/>
          </w:tcPr>
          <w:p w14:paraId="0015B236"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5B6278FD"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建立儿童青少年</w:t>
            </w:r>
            <w:proofErr w:type="gramStart"/>
            <w:r>
              <w:rPr>
                <w:rFonts w:ascii="仿宋_GB2312" w:hAnsi="等线" w:cs="宋体" w:hint="eastAsia"/>
                <w:kern w:val="0"/>
                <w:sz w:val="21"/>
                <w:szCs w:val="21"/>
              </w:rPr>
              <w:t>眼健康</w:t>
            </w:r>
            <w:proofErr w:type="gramEnd"/>
            <w:r>
              <w:rPr>
                <w:rFonts w:ascii="仿宋_GB2312" w:hAnsi="等线" w:cs="宋体" w:hint="eastAsia"/>
                <w:kern w:val="0"/>
                <w:sz w:val="21"/>
                <w:szCs w:val="21"/>
              </w:rPr>
              <w:t>档案，一人一档，信息完备；随儿童青少年学籍变化实时转移。</w:t>
            </w:r>
          </w:p>
        </w:tc>
        <w:tc>
          <w:tcPr>
            <w:tcW w:w="650" w:type="dxa"/>
            <w:tcBorders>
              <w:top w:val="nil"/>
              <w:left w:val="nil"/>
              <w:bottom w:val="single" w:sz="4" w:space="0" w:color="auto"/>
              <w:right w:val="single" w:sz="4" w:space="0" w:color="auto"/>
            </w:tcBorders>
            <w:shd w:val="clear" w:color="auto" w:fill="auto"/>
            <w:vAlign w:val="center"/>
          </w:tcPr>
          <w:p w14:paraId="6BC864AA"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7</w:t>
            </w:r>
          </w:p>
        </w:tc>
        <w:tc>
          <w:tcPr>
            <w:tcW w:w="4802" w:type="dxa"/>
            <w:tcBorders>
              <w:top w:val="nil"/>
              <w:left w:val="nil"/>
              <w:bottom w:val="single" w:sz="4" w:space="0" w:color="auto"/>
              <w:right w:val="single" w:sz="4" w:space="0" w:color="auto"/>
            </w:tcBorders>
            <w:shd w:val="clear" w:color="auto" w:fill="auto"/>
            <w:vAlign w:val="center"/>
          </w:tcPr>
          <w:p w14:paraId="01CAC4AC"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1.建立儿童青少年</w:t>
            </w:r>
            <w:proofErr w:type="gramStart"/>
            <w:r>
              <w:rPr>
                <w:rFonts w:ascii="仿宋_GB2312" w:hAnsi="等线" w:cs="宋体" w:hint="eastAsia"/>
                <w:kern w:val="0"/>
                <w:sz w:val="21"/>
                <w:szCs w:val="21"/>
              </w:rPr>
              <w:t>眼健康</w:t>
            </w:r>
            <w:proofErr w:type="gramEnd"/>
            <w:r>
              <w:rPr>
                <w:rFonts w:ascii="仿宋_GB2312" w:hAnsi="等线" w:cs="宋体" w:hint="eastAsia"/>
                <w:kern w:val="0"/>
                <w:sz w:val="21"/>
                <w:szCs w:val="21"/>
              </w:rPr>
              <w:t>档案，且一人一档，得3分。</w:t>
            </w:r>
            <w:r>
              <w:rPr>
                <w:rFonts w:ascii="仿宋_GB2312" w:hAnsi="等线" w:cs="宋体" w:hint="eastAsia"/>
                <w:kern w:val="0"/>
                <w:sz w:val="21"/>
                <w:szCs w:val="21"/>
              </w:rPr>
              <w:br/>
              <w:t>2.</w:t>
            </w:r>
            <w:r>
              <w:rPr>
                <w:rFonts w:ascii="Calibri" w:eastAsia="宋体" w:hAnsi="Calibri" w:hint="eastAsia"/>
                <w:sz w:val="21"/>
                <w:szCs w:val="24"/>
              </w:rPr>
              <w:t xml:space="preserve"> </w:t>
            </w:r>
            <w:r>
              <w:rPr>
                <w:rFonts w:ascii="仿宋_GB2312" w:hAnsi="等线" w:cs="宋体" w:hint="eastAsia"/>
                <w:kern w:val="0"/>
                <w:sz w:val="21"/>
                <w:szCs w:val="21"/>
              </w:rPr>
              <w:t>健康档案信息完备，规范记录检查内容并动态更新，得3分。</w:t>
            </w:r>
            <w:r>
              <w:rPr>
                <w:rFonts w:ascii="仿宋_GB2312" w:hAnsi="等线" w:cs="宋体" w:hint="eastAsia"/>
                <w:kern w:val="0"/>
                <w:sz w:val="21"/>
                <w:szCs w:val="21"/>
              </w:rPr>
              <w:br/>
              <w:t>3.健康档案随儿童青少年学籍变化实时转移，得1分。</w:t>
            </w:r>
          </w:p>
        </w:tc>
      </w:tr>
      <w:tr w:rsidR="00EC297E" w14:paraId="47A74325" w14:textId="77777777">
        <w:trPr>
          <w:trHeight w:val="849"/>
          <w:jc w:val="center"/>
        </w:trPr>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14:paraId="06907675"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lastRenderedPageBreak/>
              <w:t>指标</w:t>
            </w:r>
            <w:r>
              <w:rPr>
                <w:rFonts w:ascii="仿宋_GB2312" w:hAnsi="等线" w:cs="宋体" w:hint="eastAsia"/>
                <w:b/>
                <w:bCs/>
                <w:kern w:val="0"/>
                <w:sz w:val="21"/>
                <w:szCs w:val="21"/>
              </w:rPr>
              <w:br/>
              <w:t>（总分）</w:t>
            </w:r>
          </w:p>
        </w:tc>
        <w:tc>
          <w:tcPr>
            <w:tcW w:w="3443" w:type="dxa"/>
            <w:tcBorders>
              <w:top w:val="single" w:sz="4" w:space="0" w:color="auto"/>
              <w:left w:val="single" w:sz="4" w:space="0" w:color="auto"/>
              <w:bottom w:val="single" w:sz="4" w:space="0" w:color="auto"/>
              <w:right w:val="single" w:sz="4" w:space="0" w:color="auto"/>
            </w:tcBorders>
            <w:shd w:val="clear" w:color="auto" w:fill="auto"/>
            <w:vAlign w:val="center"/>
          </w:tcPr>
          <w:p w14:paraId="6F1D1927"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t>指标内容</w:t>
            </w:r>
          </w:p>
        </w:tc>
        <w:tc>
          <w:tcPr>
            <w:tcW w:w="650" w:type="dxa"/>
            <w:tcBorders>
              <w:top w:val="single" w:sz="4" w:space="0" w:color="auto"/>
              <w:left w:val="single" w:sz="4" w:space="0" w:color="auto"/>
              <w:bottom w:val="single" w:sz="4" w:space="0" w:color="auto"/>
              <w:right w:val="single" w:sz="4" w:space="0" w:color="auto"/>
            </w:tcBorders>
            <w:shd w:val="clear" w:color="auto" w:fill="auto"/>
            <w:vAlign w:val="center"/>
          </w:tcPr>
          <w:p w14:paraId="4A5AE547"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t>分值</w:t>
            </w:r>
          </w:p>
        </w:tc>
        <w:tc>
          <w:tcPr>
            <w:tcW w:w="4802" w:type="dxa"/>
            <w:tcBorders>
              <w:top w:val="single" w:sz="4" w:space="0" w:color="auto"/>
              <w:left w:val="single" w:sz="4" w:space="0" w:color="auto"/>
              <w:bottom w:val="single" w:sz="4" w:space="0" w:color="auto"/>
              <w:right w:val="single" w:sz="4" w:space="0" w:color="auto"/>
            </w:tcBorders>
            <w:shd w:val="clear" w:color="auto" w:fill="auto"/>
            <w:vAlign w:val="center"/>
          </w:tcPr>
          <w:p w14:paraId="1C1AB53A"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t>评分说明</w:t>
            </w:r>
            <w:r>
              <w:rPr>
                <w:rFonts w:ascii="仿宋_GB2312" w:hAnsi="等线" w:cs="宋体" w:hint="eastAsia"/>
                <w:b/>
                <w:bCs/>
                <w:kern w:val="0"/>
                <w:sz w:val="21"/>
                <w:szCs w:val="21"/>
              </w:rPr>
              <w:br/>
            </w:r>
            <w:r>
              <w:rPr>
                <w:rFonts w:ascii="仿宋_GB2312" w:hAnsi="等线" w:cs="宋体" w:hint="eastAsia"/>
                <w:b/>
                <w:bCs/>
                <w:kern w:val="0"/>
                <w:sz w:val="18"/>
                <w:szCs w:val="18"/>
              </w:rPr>
              <w:t>（满足以下要求得分，否则不得分；要素不全酌情扣分）</w:t>
            </w:r>
          </w:p>
        </w:tc>
      </w:tr>
      <w:tr w:rsidR="00EC297E" w14:paraId="399DC3CF" w14:textId="77777777">
        <w:trPr>
          <w:trHeight w:val="2487"/>
          <w:jc w:val="center"/>
        </w:trPr>
        <w:tc>
          <w:tcPr>
            <w:tcW w:w="1142" w:type="dxa"/>
            <w:vMerge w:val="restart"/>
            <w:tcBorders>
              <w:top w:val="single" w:sz="4" w:space="0" w:color="auto"/>
              <w:left w:val="single" w:sz="4" w:space="0" w:color="auto"/>
              <w:right w:val="single" w:sz="4" w:space="0" w:color="auto"/>
            </w:tcBorders>
            <w:shd w:val="clear" w:color="auto" w:fill="auto"/>
            <w:vAlign w:val="center"/>
          </w:tcPr>
          <w:p w14:paraId="76C7AA72"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儿童青少年近视防控综合管理（</w:t>
            </w:r>
            <w:r>
              <w:rPr>
                <w:rFonts w:ascii="仿宋_GB2312" w:hAnsi="等线" w:cs="宋体"/>
                <w:kern w:val="0"/>
                <w:sz w:val="21"/>
                <w:szCs w:val="21"/>
              </w:rPr>
              <w:t>4</w:t>
            </w:r>
            <w:r>
              <w:rPr>
                <w:rFonts w:ascii="仿宋_GB2312" w:hAnsi="等线" w:cs="宋体" w:hint="eastAsia"/>
                <w:kern w:val="0"/>
                <w:sz w:val="21"/>
                <w:szCs w:val="21"/>
              </w:rPr>
              <w:t>0分）</w:t>
            </w:r>
          </w:p>
        </w:tc>
        <w:tc>
          <w:tcPr>
            <w:tcW w:w="3443" w:type="dxa"/>
            <w:tcBorders>
              <w:top w:val="single" w:sz="4" w:space="0" w:color="auto"/>
              <w:left w:val="nil"/>
              <w:bottom w:val="single" w:sz="4" w:space="0" w:color="auto"/>
              <w:right w:val="single" w:sz="4" w:space="0" w:color="auto"/>
            </w:tcBorders>
            <w:shd w:val="clear" w:color="auto" w:fill="auto"/>
            <w:vAlign w:val="center"/>
          </w:tcPr>
          <w:p w14:paraId="64E2C69B"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建立中医适宜技术防控儿童青少年近视试点数据库，并搭建数据安全管理机制，明确数据安全负责人，试点工作开展期间未出现数据安全事件。</w:t>
            </w:r>
          </w:p>
        </w:tc>
        <w:tc>
          <w:tcPr>
            <w:tcW w:w="650" w:type="dxa"/>
            <w:tcBorders>
              <w:top w:val="single" w:sz="4" w:space="0" w:color="auto"/>
              <w:left w:val="nil"/>
              <w:bottom w:val="single" w:sz="4" w:space="0" w:color="auto"/>
              <w:right w:val="single" w:sz="4" w:space="0" w:color="auto"/>
            </w:tcBorders>
            <w:shd w:val="clear" w:color="auto" w:fill="auto"/>
            <w:vAlign w:val="center"/>
          </w:tcPr>
          <w:p w14:paraId="6AEA176D"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8</w:t>
            </w:r>
          </w:p>
        </w:tc>
        <w:tc>
          <w:tcPr>
            <w:tcW w:w="4802" w:type="dxa"/>
            <w:tcBorders>
              <w:top w:val="single" w:sz="4" w:space="0" w:color="auto"/>
              <w:left w:val="nil"/>
              <w:bottom w:val="single" w:sz="4" w:space="0" w:color="auto"/>
              <w:right w:val="single" w:sz="4" w:space="0" w:color="auto"/>
            </w:tcBorders>
            <w:shd w:val="clear" w:color="auto" w:fill="auto"/>
            <w:vAlign w:val="center"/>
          </w:tcPr>
          <w:p w14:paraId="319198C0"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1.建立中医适宜技术防控儿童青少年近视试点数据库，得4分。</w:t>
            </w:r>
            <w:r>
              <w:rPr>
                <w:rFonts w:ascii="仿宋_GB2312" w:hAnsi="等线" w:cs="宋体" w:hint="eastAsia"/>
                <w:kern w:val="0"/>
                <w:sz w:val="21"/>
                <w:szCs w:val="21"/>
              </w:rPr>
              <w:br/>
              <w:t>2.搭建数据安全管理机制，明确数据安全负责人，得2分。</w:t>
            </w:r>
            <w:r>
              <w:rPr>
                <w:rFonts w:ascii="仿宋_GB2312" w:hAnsi="等线" w:cs="宋体" w:hint="eastAsia"/>
                <w:kern w:val="0"/>
                <w:sz w:val="21"/>
                <w:szCs w:val="21"/>
              </w:rPr>
              <w:br/>
              <w:t>3.试点工作开展期间未出现数据安全事件，得2分；发生数据安全事件后及时报告、处理得当，未造成损失或严重影响，得0.5分，否则不得分。</w:t>
            </w:r>
          </w:p>
        </w:tc>
      </w:tr>
      <w:tr w:rsidR="00EC297E" w14:paraId="4342DA63" w14:textId="77777777">
        <w:trPr>
          <w:trHeight w:val="1317"/>
          <w:jc w:val="center"/>
        </w:trPr>
        <w:tc>
          <w:tcPr>
            <w:tcW w:w="1142" w:type="dxa"/>
            <w:vMerge/>
            <w:tcBorders>
              <w:left w:val="single" w:sz="4" w:space="0" w:color="auto"/>
              <w:right w:val="single" w:sz="4" w:space="0" w:color="auto"/>
            </w:tcBorders>
            <w:shd w:val="clear" w:color="auto" w:fill="auto"/>
            <w:vAlign w:val="center"/>
          </w:tcPr>
          <w:p w14:paraId="746DAFAB"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2EF91A4C"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按照《中医适宜技术防控儿童青少年近视操作指南（试点试用）》要求或采用多种中医适宜技术进行规范干预。</w:t>
            </w:r>
          </w:p>
        </w:tc>
        <w:tc>
          <w:tcPr>
            <w:tcW w:w="650" w:type="dxa"/>
            <w:tcBorders>
              <w:top w:val="nil"/>
              <w:left w:val="nil"/>
              <w:bottom w:val="single" w:sz="4" w:space="0" w:color="auto"/>
              <w:right w:val="single" w:sz="4" w:space="0" w:color="auto"/>
            </w:tcBorders>
            <w:shd w:val="clear" w:color="auto" w:fill="auto"/>
            <w:vAlign w:val="center"/>
          </w:tcPr>
          <w:p w14:paraId="2572B419"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7</w:t>
            </w:r>
          </w:p>
        </w:tc>
        <w:tc>
          <w:tcPr>
            <w:tcW w:w="4802" w:type="dxa"/>
            <w:tcBorders>
              <w:top w:val="nil"/>
              <w:left w:val="nil"/>
              <w:bottom w:val="single" w:sz="4" w:space="0" w:color="auto"/>
              <w:right w:val="single" w:sz="4" w:space="0" w:color="auto"/>
            </w:tcBorders>
            <w:shd w:val="clear" w:color="auto" w:fill="auto"/>
            <w:vAlign w:val="center"/>
          </w:tcPr>
          <w:p w14:paraId="3C73D86E"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按照《中医适宜技术防控儿童青少年近视操作指南（试点试用）》要求或采用多种中医适宜技术进行规范干预，得</w:t>
            </w:r>
            <w:r>
              <w:rPr>
                <w:rFonts w:ascii="仿宋_GB2312" w:hAnsi="等线" w:cs="宋体"/>
                <w:kern w:val="0"/>
                <w:sz w:val="21"/>
                <w:szCs w:val="21"/>
              </w:rPr>
              <w:t>7</w:t>
            </w:r>
            <w:r>
              <w:rPr>
                <w:rFonts w:ascii="仿宋_GB2312" w:hAnsi="等线" w:cs="宋体" w:hint="eastAsia"/>
                <w:kern w:val="0"/>
                <w:sz w:val="21"/>
                <w:szCs w:val="21"/>
              </w:rPr>
              <w:t>分。</w:t>
            </w:r>
          </w:p>
        </w:tc>
      </w:tr>
      <w:tr w:rsidR="00EC297E" w14:paraId="110F59F7" w14:textId="77777777">
        <w:trPr>
          <w:trHeight w:val="1270"/>
          <w:jc w:val="center"/>
        </w:trPr>
        <w:tc>
          <w:tcPr>
            <w:tcW w:w="1142" w:type="dxa"/>
            <w:vMerge/>
            <w:tcBorders>
              <w:left w:val="single" w:sz="4" w:space="0" w:color="auto"/>
              <w:bottom w:val="single" w:sz="4" w:space="0" w:color="auto"/>
              <w:right w:val="single" w:sz="4" w:space="0" w:color="auto"/>
            </w:tcBorders>
            <w:shd w:val="clear" w:color="auto" w:fill="auto"/>
            <w:vAlign w:val="center"/>
          </w:tcPr>
          <w:p w14:paraId="76C0ED6A"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6260F976"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规范监测最佳裸眼远视力、散</w:t>
            </w:r>
            <w:proofErr w:type="gramStart"/>
            <w:r>
              <w:rPr>
                <w:rFonts w:ascii="仿宋_GB2312" w:hAnsi="等线" w:cs="宋体" w:hint="eastAsia"/>
                <w:kern w:val="0"/>
                <w:sz w:val="21"/>
                <w:szCs w:val="21"/>
              </w:rPr>
              <w:t>瞳</w:t>
            </w:r>
            <w:proofErr w:type="gramEnd"/>
            <w:r>
              <w:rPr>
                <w:rFonts w:ascii="仿宋_GB2312" w:hAnsi="等线" w:cs="宋体" w:hint="eastAsia"/>
                <w:kern w:val="0"/>
                <w:sz w:val="21"/>
                <w:szCs w:val="21"/>
              </w:rPr>
              <w:t>后等效球镜、眼轴、角膜曲率，进行定期视力筛查。</w:t>
            </w:r>
          </w:p>
        </w:tc>
        <w:tc>
          <w:tcPr>
            <w:tcW w:w="650" w:type="dxa"/>
            <w:tcBorders>
              <w:top w:val="nil"/>
              <w:left w:val="nil"/>
              <w:bottom w:val="single" w:sz="4" w:space="0" w:color="auto"/>
              <w:right w:val="single" w:sz="4" w:space="0" w:color="auto"/>
            </w:tcBorders>
            <w:shd w:val="clear" w:color="auto" w:fill="auto"/>
            <w:vAlign w:val="center"/>
          </w:tcPr>
          <w:p w14:paraId="3D4F0ABF"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8</w:t>
            </w:r>
          </w:p>
        </w:tc>
        <w:tc>
          <w:tcPr>
            <w:tcW w:w="4802" w:type="dxa"/>
            <w:tcBorders>
              <w:top w:val="nil"/>
              <w:left w:val="nil"/>
              <w:bottom w:val="single" w:sz="4" w:space="0" w:color="auto"/>
              <w:right w:val="single" w:sz="4" w:space="0" w:color="auto"/>
            </w:tcBorders>
            <w:shd w:val="clear" w:color="auto" w:fill="auto"/>
            <w:vAlign w:val="center"/>
          </w:tcPr>
          <w:p w14:paraId="1C5C03ED"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1.规范监测最佳裸眼远视力、散</w:t>
            </w:r>
            <w:proofErr w:type="gramStart"/>
            <w:r>
              <w:rPr>
                <w:rFonts w:ascii="仿宋_GB2312" w:hAnsi="等线" w:cs="宋体" w:hint="eastAsia"/>
                <w:kern w:val="0"/>
                <w:sz w:val="21"/>
                <w:szCs w:val="21"/>
              </w:rPr>
              <w:t>瞳</w:t>
            </w:r>
            <w:proofErr w:type="gramEnd"/>
            <w:r>
              <w:rPr>
                <w:rFonts w:ascii="仿宋_GB2312" w:hAnsi="等线" w:cs="宋体" w:hint="eastAsia"/>
                <w:kern w:val="0"/>
                <w:sz w:val="21"/>
                <w:szCs w:val="21"/>
              </w:rPr>
              <w:t>后等效球镜、眼轴、角膜曲率，并做好记录，得</w:t>
            </w:r>
            <w:r>
              <w:rPr>
                <w:rFonts w:ascii="仿宋_GB2312" w:hAnsi="等线" w:cs="宋体"/>
                <w:kern w:val="0"/>
                <w:sz w:val="21"/>
                <w:szCs w:val="21"/>
              </w:rPr>
              <w:t>4</w:t>
            </w:r>
            <w:r>
              <w:rPr>
                <w:rFonts w:ascii="仿宋_GB2312" w:hAnsi="等线" w:cs="宋体" w:hint="eastAsia"/>
                <w:kern w:val="0"/>
                <w:sz w:val="21"/>
                <w:szCs w:val="21"/>
              </w:rPr>
              <w:t>分。</w:t>
            </w:r>
            <w:r>
              <w:rPr>
                <w:rFonts w:ascii="仿宋_GB2312" w:hAnsi="等线" w:cs="宋体" w:hint="eastAsia"/>
                <w:kern w:val="0"/>
                <w:sz w:val="21"/>
                <w:szCs w:val="21"/>
              </w:rPr>
              <w:br/>
              <w:t>2.定期进行视力筛查，每年至少2次，得4分。</w:t>
            </w:r>
          </w:p>
        </w:tc>
      </w:tr>
      <w:tr w:rsidR="00EC297E" w14:paraId="1DDD6F43" w14:textId="77777777">
        <w:trPr>
          <w:trHeight w:val="2941"/>
          <w:jc w:val="center"/>
        </w:trPr>
        <w:tc>
          <w:tcPr>
            <w:tcW w:w="1142" w:type="dxa"/>
            <w:tcBorders>
              <w:top w:val="nil"/>
              <w:left w:val="single" w:sz="4" w:space="0" w:color="auto"/>
              <w:bottom w:val="single" w:sz="4" w:space="0" w:color="auto"/>
              <w:right w:val="single" w:sz="4" w:space="0" w:color="auto"/>
            </w:tcBorders>
            <w:shd w:val="clear" w:color="auto" w:fill="auto"/>
            <w:vAlign w:val="center"/>
          </w:tcPr>
          <w:p w14:paraId="14FB1B6B"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儿童青少年近视健康教育（15分）</w:t>
            </w:r>
          </w:p>
        </w:tc>
        <w:tc>
          <w:tcPr>
            <w:tcW w:w="3443" w:type="dxa"/>
            <w:tcBorders>
              <w:top w:val="nil"/>
              <w:left w:val="nil"/>
              <w:bottom w:val="single" w:sz="4" w:space="0" w:color="auto"/>
              <w:right w:val="single" w:sz="4" w:space="0" w:color="auto"/>
            </w:tcBorders>
            <w:shd w:val="clear" w:color="auto" w:fill="auto"/>
            <w:vAlign w:val="center"/>
          </w:tcPr>
          <w:p w14:paraId="0057A4AD"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利用广播电视、专家宣讲、报纸和新媒体平台等，普及中医药近视防控知识和中医适宜技术。</w:t>
            </w:r>
          </w:p>
        </w:tc>
        <w:tc>
          <w:tcPr>
            <w:tcW w:w="650" w:type="dxa"/>
            <w:tcBorders>
              <w:top w:val="nil"/>
              <w:left w:val="nil"/>
              <w:bottom w:val="single" w:sz="4" w:space="0" w:color="auto"/>
              <w:right w:val="single" w:sz="4" w:space="0" w:color="auto"/>
            </w:tcBorders>
            <w:shd w:val="clear" w:color="auto" w:fill="auto"/>
            <w:vAlign w:val="center"/>
          </w:tcPr>
          <w:p w14:paraId="3D553B4B"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15</w:t>
            </w:r>
          </w:p>
        </w:tc>
        <w:tc>
          <w:tcPr>
            <w:tcW w:w="4802" w:type="dxa"/>
            <w:tcBorders>
              <w:top w:val="nil"/>
              <w:left w:val="nil"/>
              <w:bottom w:val="single" w:sz="4" w:space="0" w:color="auto"/>
              <w:right w:val="single" w:sz="4" w:space="0" w:color="auto"/>
            </w:tcBorders>
            <w:shd w:val="clear" w:color="auto" w:fill="auto"/>
            <w:vAlign w:val="center"/>
          </w:tcPr>
          <w:p w14:paraId="09D079CD"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1.利用新媒体平台进行中医药近视防控知识和中医适宜技术等主题科普宣教（包括但不限于科普文章、科普视频等），1分/次，满分3分。</w:t>
            </w:r>
            <w:r>
              <w:rPr>
                <w:rFonts w:ascii="仿宋_GB2312" w:hAnsi="等线" w:cs="宋体" w:hint="eastAsia"/>
                <w:kern w:val="0"/>
                <w:sz w:val="21"/>
                <w:szCs w:val="21"/>
              </w:rPr>
              <w:br/>
              <w:t>2.采用进校园活动、社区专题宣讲、专家讲座等形式在学校、社区普及中医药近视防控知识和中医适宜技术，2分/次，满分6分。</w:t>
            </w:r>
            <w:r>
              <w:rPr>
                <w:rFonts w:ascii="仿宋_GB2312" w:hAnsi="等线" w:cs="宋体" w:hint="eastAsia"/>
                <w:kern w:val="0"/>
                <w:sz w:val="21"/>
                <w:szCs w:val="21"/>
              </w:rPr>
              <w:br/>
              <w:t>3.利用广播电视、报纸等主流新闻媒体，普及中医药近视防控知识和中医适宜技术，或宣传试点工作模式、成效等，2分/次，满分6分。</w:t>
            </w:r>
          </w:p>
        </w:tc>
      </w:tr>
      <w:tr w:rsidR="00EC297E" w14:paraId="32F7151A" w14:textId="77777777">
        <w:trPr>
          <w:trHeight w:val="1559"/>
          <w:jc w:val="center"/>
        </w:trPr>
        <w:tc>
          <w:tcPr>
            <w:tcW w:w="1142" w:type="dxa"/>
            <w:vMerge w:val="restart"/>
            <w:tcBorders>
              <w:top w:val="nil"/>
              <w:left w:val="single" w:sz="4" w:space="0" w:color="auto"/>
              <w:bottom w:val="single" w:sz="4" w:space="0" w:color="auto"/>
              <w:right w:val="single" w:sz="4" w:space="0" w:color="auto"/>
            </w:tcBorders>
            <w:shd w:val="clear" w:color="auto" w:fill="auto"/>
            <w:vAlign w:val="center"/>
          </w:tcPr>
          <w:p w14:paraId="5302233F"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适宜技术推广（</w:t>
            </w:r>
            <w:r>
              <w:rPr>
                <w:rFonts w:ascii="仿宋_GB2312" w:hAnsi="等线" w:cs="宋体"/>
                <w:kern w:val="0"/>
                <w:sz w:val="21"/>
                <w:szCs w:val="21"/>
              </w:rPr>
              <w:t>20</w:t>
            </w:r>
            <w:r>
              <w:rPr>
                <w:rFonts w:ascii="仿宋_GB2312" w:hAnsi="等线" w:cs="宋体" w:hint="eastAsia"/>
                <w:kern w:val="0"/>
                <w:sz w:val="21"/>
                <w:szCs w:val="21"/>
              </w:rPr>
              <w:t>分）</w:t>
            </w:r>
          </w:p>
        </w:tc>
        <w:tc>
          <w:tcPr>
            <w:tcW w:w="3443" w:type="dxa"/>
            <w:tcBorders>
              <w:top w:val="nil"/>
              <w:left w:val="nil"/>
              <w:bottom w:val="single" w:sz="4" w:space="0" w:color="auto"/>
              <w:right w:val="single" w:sz="4" w:space="0" w:color="auto"/>
            </w:tcBorders>
            <w:shd w:val="clear" w:color="auto" w:fill="auto"/>
            <w:vAlign w:val="center"/>
          </w:tcPr>
          <w:p w14:paraId="140F13C9"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开展中医适宜技术专题培训不少于2次；组织实操演练，提高技术操作人员能力水平，确保干预技术操作规范性、同质性。</w:t>
            </w:r>
          </w:p>
        </w:tc>
        <w:tc>
          <w:tcPr>
            <w:tcW w:w="650" w:type="dxa"/>
            <w:tcBorders>
              <w:top w:val="nil"/>
              <w:left w:val="nil"/>
              <w:bottom w:val="single" w:sz="4" w:space="0" w:color="auto"/>
              <w:right w:val="single" w:sz="4" w:space="0" w:color="auto"/>
            </w:tcBorders>
            <w:shd w:val="clear" w:color="auto" w:fill="auto"/>
            <w:vAlign w:val="center"/>
          </w:tcPr>
          <w:p w14:paraId="2176CF14"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8</w:t>
            </w:r>
          </w:p>
        </w:tc>
        <w:tc>
          <w:tcPr>
            <w:tcW w:w="4802" w:type="dxa"/>
            <w:tcBorders>
              <w:top w:val="nil"/>
              <w:left w:val="nil"/>
              <w:bottom w:val="single" w:sz="4" w:space="0" w:color="auto"/>
              <w:right w:val="single" w:sz="4" w:space="0" w:color="auto"/>
            </w:tcBorders>
            <w:shd w:val="clear" w:color="auto" w:fill="auto"/>
            <w:vAlign w:val="center"/>
          </w:tcPr>
          <w:p w14:paraId="65F2E990"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1.开展中医适宜技术专题培训不少于2次，得4分。</w:t>
            </w:r>
            <w:r>
              <w:rPr>
                <w:rFonts w:ascii="仿宋_GB2312" w:hAnsi="等线" w:cs="宋体" w:hint="eastAsia"/>
                <w:kern w:val="0"/>
                <w:sz w:val="21"/>
                <w:szCs w:val="21"/>
              </w:rPr>
              <w:br/>
              <w:t>2.组织至少2次实操演练，提高技术操作人员能力水平，确保干预技术操作规范性、同质性，得4分。</w:t>
            </w:r>
          </w:p>
        </w:tc>
      </w:tr>
      <w:tr w:rsidR="00EC297E" w14:paraId="440E36AE" w14:textId="77777777">
        <w:trPr>
          <w:trHeight w:val="939"/>
          <w:jc w:val="center"/>
        </w:trPr>
        <w:tc>
          <w:tcPr>
            <w:tcW w:w="1142" w:type="dxa"/>
            <w:vMerge/>
            <w:tcBorders>
              <w:top w:val="nil"/>
              <w:left w:val="single" w:sz="4" w:space="0" w:color="auto"/>
              <w:bottom w:val="single" w:sz="4" w:space="0" w:color="auto"/>
              <w:right w:val="single" w:sz="4" w:space="0" w:color="auto"/>
            </w:tcBorders>
            <w:vAlign w:val="center"/>
          </w:tcPr>
          <w:p w14:paraId="4BF14D7A"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033622A8"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定期随访，统计依从性；做好不良反应/事件监测记录和处理。</w:t>
            </w:r>
          </w:p>
        </w:tc>
        <w:tc>
          <w:tcPr>
            <w:tcW w:w="650" w:type="dxa"/>
            <w:tcBorders>
              <w:top w:val="nil"/>
              <w:left w:val="nil"/>
              <w:bottom w:val="single" w:sz="4" w:space="0" w:color="auto"/>
              <w:right w:val="single" w:sz="4" w:space="0" w:color="auto"/>
            </w:tcBorders>
            <w:shd w:val="clear" w:color="auto" w:fill="auto"/>
            <w:vAlign w:val="center"/>
          </w:tcPr>
          <w:p w14:paraId="4EDC38A2"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6</w:t>
            </w:r>
          </w:p>
        </w:tc>
        <w:tc>
          <w:tcPr>
            <w:tcW w:w="4802" w:type="dxa"/>
            <w:tcBorders>
              <w:top w:val="nil"/>
              <w:left w:val="nil"/>
              <w:bottom w:val="single" w:sz="4" w:space="0" w:color="auto"/>
              <w:right w:val="single" w:sz="4" w:space="0" w:color="auto"/>
            </w:tcBorders>
            <w:shd w:val="clear" w:color="auto" w:fill="auto"/>
            <w:vAlign w:val="center"/>
          </w:tcPr>
          <w:p w14:paraId="71758222"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1.定期随访，并做好依从性统计，得4分。</w:t>
            </w:r>
            <w:r>
              <w:rPr>
                <w:rFonts w:ascii="仿宋_GB2312" w:hAnsi="等线" w:cs="宋体" w:hint="eastAsia"/>
                <w:kern w:val="0"/>
                <w:sz w:val="21"/>
                <w:szCs w:val="21"/>
              </w:rPr>
              <w:br/>
              <w:t>2.及时处理不良反应，并做好监测记录，得2分。</w:t>
            </w:r>
          </w:p>
        </w:tc>
      </w:tr>
      <w:tr w:rsidR="00EC297E" w14:paraId="3C59FC4B" w14:textId="77777777">
        <w:trPr>
          <w:trHeight w:val="1780"/>
          <w:jc w:val="center"/>
        </w:trPr>
        <w:tc>
          <w:tcPr>
            <w:tcW w:w="1142" w:type="dxa"/>
            <w:vMerge/>
            <w:tcBorders>
              <w:top w:val="nil"/>
              <w:left w:val="single" w:sz="4" w:space="0" w:color="auto"/>
              <w:bottom w:val="single" w:sz="4" w:space="0" w:color="auto"/>
              <w:right w:val="single" w:sz="4" w:space="0" w:color="auto"/>
            </w:tcBorders>
            <w:vAlign w:val="center"/>
          </w:tcPr>
          <w:p w14:paraId="70549370"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77A934E8"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在基层医疗卫生机构、县中医院等推广使用耳穴压丸等中医适宜技术，应用中医适宜技术医疗机构数量</w:t>
            </w:r>
            <w:proofErr w:type="gramStart"/>
            <w:r>
              <w:rPr>
                <w:rFonts w:ascii="仿宋_GB2312" w:hAnsi="等线" w:cs="宋体" w:hint="eastAsia"/>
                <w:kern w:val="0"/>
                <w:sz w:val="21"/>
                <w:szCs w:val="21"/>
              </w:rPr>
              <w:t>较试点</w:t>
            </w:r>
            <w:proofErr w:type="gramEnd"/>
            <w:r>
              <w:rPr>
                <w:rFonts w:ascii="仿宋_GB2312" w:hAnsi="等线" w:cs="宋体" w:hint="eastAsia"/>
                <w:kern w:val="0"/>
                <w:sz w:val="21"/>
                <w:szCs w:val="21"/>
              </w:rPr>
              <w:t>前增加。</w:t>
            </w:r>
          </w:p>
        </w:tc>
        <w:tc>
          <w:tcPr>
            <w:tcW w:w="650" w:type="dxa"/>
            <w:tcBorders>
              <w:top w:val="nil"/>
              <w:left w:val="nil"/>
              <w:bottom w:val="single" w:sz="4" w:space="0" w:color="auto"/>
              <w:right w:val="single" w:sz="4" w:space="0" w:color="auto"/>
            </w:tcBorders>
            <w:shd w:val="clear" w:color="auto" w:fill="auto"/>
            <w:vAlign w:val="center"/>
          </w:tcPr>
          <w:p w14:paraId="315FA6FC"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6</w:t>
            </w:r>
          </w:p>
        </w:tc>
        <w:tc>
          <w:tcPr>
            <w:tcW w:w="4802" w:type="dxa"/>
            <w:tcBorders>
              <w:top w:val="nil"/>
              <w:left w:val="nil"/>
              <w:bottom w:val="single" w:sz="4" w:space="0" w:color="auto"/>
              <w:right w:val="single" w:sz="4" w:space="0" w:color="auto"/>
            </w:tcBorders>
            <w:shd w:val="clear" w:color="auto" w:fill="auto"/>
            <w:vAlign w:val="center"/>
          </w:tcPr>
          <w:p w14:paraId="3D95F161"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1.在基层医疗卫生机构、县中医院等推广使用耳穴压丸等中医适宜技术，得3分。</w:t>
            </w:r>
            <w:r>
              <w:rPr>
                <w:rFonts w:ascii="仿宋_GB2312" w:hAnsi="等线" w:cs="宋体" w:hint="eastAsia"/>
                <w:kern w:val="0"/>
                <w:sz w:val="21"/>
                <w:szCs w:val="21"/>
              </w:rPr>
              <w:br/>
              <w:t>2.应用中医适宜技术医疗卫生机构数量</w:t>
            </w:r>
            <w:proofErr w:type="gramStart"/>
            <w:r>
              <w:rPr>
                <w:rFonts w:ascii="仿宋_GB2312" w:hAnsi="等线" w:cs="宋体" w:hint="eastAsia"/>
                <w:kern w:val="0"/>
                <w:sz w:val="21"/>
                <w:szCs w:val="21"/>
              </w:rPr>
              <w:t>较试点</w:t>
            </w:r>
            <w:proofErr w:type="gramEnd"/>
            <w:r>
              <w:rPr>
                <w:rFonts w:ascii="仿宋_GB2312" w:hAnsi="等线" w:cs="宋体" w:hint="eastAsia"/>
                <w:kern w:val="0"/>
                <w:sz w:val="21"/>
                <w:szCs w:val="21"/>
              </w:rPr>
              <w:t>前增加，得</w:t>
            </w:r>
            <w:r>
              <w:rPr>
                <w:rFonts w:ascii="仿宋_GB2312" w:hAnsi="等线" w:cs="宋体"/>
                <w:kern w:val="0"/>
                <w:sz w:val="21"/>
                <w:szCs w:val="21"/>
              </w:rPr>
              <w:t>3</w:t>
            </w:r>
            <w:r>
              <w:rPr>
                <w:rFonts w:ascii="仿宋_GB2312" w:hAnsi="等线" w:cs="宋体" w:hint="eastAsia"/>
                <w:kern w:val="0"/>
                <w:sz w:val="21"/>
                <w:szCs w:val="21"/>
              </w:rPr>
              <w:t>分。</w:t>
            </w:r>
          </w:p>
        </w:tc>
      </w:tr>
      <w:tr w:rsidR="00EC297E" w14:paraId="23A28146" w14:textId="77777777">
        <w:trPr>
          <w:trHeight w:val="630"/>
          <w:jc w:val="center"/>
        </w:trPr>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14:paraId="63308BDB"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lastRenderedPageBreak/>
              <w:t>指标</w:t>
            </w:r>
            <w:r>
              <w:rPr>
                <w:rFonts w:ascii="仿宋_GB2312" w:hAnsi="等线" w:cs="宋体" w:hint="eastAsia"/>
                <w:b/>
                <w:bCs/>
                <w:kern w:val="0"/>
                <w:sz w:val="21"/>
                <w:szCs w:val="21"/>
              </w:rPr>
              <w:br/>
              <w:t>（总分）</w:t>
            </w:r>
          </w:p>
        </w:tc>
        <w:tc>
          <w:tcPr>
            <w:tcW w:w="3443" w:type="dxa"/>
            <w:tcBorders>
              <w:top w:val="single" w:sz="4" w:space="0" w:color="auto"/>
              <w:left w:val="single" w:sz="4" w:space="0" w:color="auto"/>
              <w:bottom w:val="single" w:sz="4" w:space="0" w:color="auto"/>
              <w:right w:val="single" w:sz="4" w:space="0" w:color="auto"/>
            </w:tcBorders>
            <w:shd w:val="clear" w:color="auto" w:fill="auto"/>
            <w:vAlign w:val="center"/>
          </w:tcPr>
          <w:p w14:paraId="58723CC1"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t>指标内容</w:t>
            </w:r>
          </w:p>
        </w:tc>
        <w:tc>
          <w:tcPr>
            <w:tcW w:w="650" w:type="dxa"/>
            <w:tcBorders>
              <w:top w:val="single" w:sz="4" w:space="0" w:color="auto"/>
              <w:left w:val="single" w:sz="4" w:space="0" w:color="auto"/>
              <w:bottom w:val="single" w:sz="4" w:space="0" w:color="auto"/>
              <w:right w:val="single" w:sz="4" w:space="0" w:color="auto"/>
            </w:tcBorders>
            <w:shd w:val="clear" w:color="auto" w:fill="auto"/>
            <w:vAlign w:val="center"/>
          </w:tcPr>
          <w:p w14:paraId="31919D0B"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t>分值</w:t>
            </w:r>
          </w:p>
        </w:tc>
        <w:tc>
          <w:tcPr>
            <w:tcW w:w="4802" w:type="dxa"/>
            <w:tcBorders>
              <w:top w:val="single" w:sz="4" w:space="0" w:color="auto"/>
              <w:left w:val="single" w:sz="4" w:space="0" w:color="auto"/>
              <w:bottom w:val="single" w:sz="4" w:space="0" w:color="auto"/>
              <w:right w:val="single" w:sz="4" w:space="0" w:color="auto"/>
            </w:tcBorders>
            <w:shd w:val="clear" w:color="auto" w:fill="auto"/>
            <w:vAlign w:val="center"/>
          </w:tcPr>
          <w:p w14:paraId="3A427C2C"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b/>
                <w:bCs/>
                <w:kern w:val="0"/>
                <w:sz w:val="21"/>
                <w:szCs w:val="21"/>
              </w:rPr>
              <w:t>评分说明</w:t>
            </w:r>
            <w:r>
              <w:rPr>
                <w:rFonts w:ascii="仿宋_GB2312" w:hAnsi="等线" w:cs="宋体" w:hint="eastAsia"/>
                <w:b/>
                <w:bCs/>
                <w:kern w:val="0"/>
                <w:sz w:val="21"/>
                <w:szCs w:val="21"/>
              </w:rPr>
              <w:br/>
            </w:r>
            <w:r>
              <w:rPr>
                <w:rFonts w:ascii="仿宋_GB2312" w:hAnsi="等线" w:cs="宋体" w:hint="eastAsia"/>
                <w:b/>
                <w:bCs/>
                <w:kern w:val="0"/>
                <w:sz w:val="18"/>
                <w:szCs w:val="18"/>
              </w:rPr>
              <w:t>（满足以下要求得分，否则不得分；要素不全酌情扣分）</w:t>
            </w:r>
          </w:p>
        </w:tc>
      </w:tr>
      <w:tr w:rsidR="00EC297E" w14:paraId="49FB6B0A" w14:textId="77777777">
        <w:trPr>
          <w:trHeight w:val="775"/>
          <w:jc w:val="center"/>
        </w:trPr>
        <w:tc>
          <w:tcPr>
            <w:tcW w:w="11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C461360"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加分指标（</w:t>
            </w:r>
            <w:r>
              <w:rPr>
                <w:rFonts w:ascii="仿宋_GB2312" w:hAnsi="等线" w:cs="宋体"/>
                <w:kern w:val="0"/>
                <w:sz w:val="21"/>
                <w:szCs w:val="21"/>
              </w:rPr>
              <w:t>20</w:t>
            </w:r>
            <w:r>
              <w:rPr>
                <w:rFonts w:ascii="仿宋_GB2312" w:hAnsi="等线" w:cs="宋体" w:hint="eastAsia"/>
                <w:kern w:val="0"/>
                <w:sz w:val="21"/>
                <w:szCs w:val="21"/>
              </w:rPr>
              <w:t>分）</w:t>
            </w:r>
          </w:p>
        </w:tc>
        <w:tc>
          <w:tcPr>
            <w:tcW w:w="3443" w:type="dxa"/>
            <w:tcBorders>
              <w:top w:val="single" w:sz="4" w:space="0" w:color="auto"/>
              <w:left w:val="nil"/>
              <w:bottom w:val="single" w:sz="4" w:space="0" w:color="auto"/>
              <w:right w:val="single" w:sz="4" w:space="0" w:color="auto"/>
            </w:tcBorders>
            <w:shd w:val="clear" w:color="auto" w:fill="auto"/>
            <w:vAlign w:val="center"/>
          </w:tcPr>
          <w:p w14:paraId="17622584"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试点工作启动以来，试点县（市、区）持续推进干预工作。</w:t>
            </w:r>
          </w:p>
        </w:tc>
        <w:tc>
          <w:tcPr>
            <w:tcW w:w="650" w:type="dxa"/>
            <w:tcBorders>
              <w:top w:val="single" w:sz="4" w:space="0" w:color="auto"/>
              <w:left w:val="nil"/>
              <w:bottom w:val="single" w:sz="4" w:space="0" w:color="auto"/>
              <w:right w:val="single" w:sz="4" w:space="0" w:color="auto"/>
            </w:tcBorders>
            <w:shd w:val="clear" w:color="auto" w:fill="auto"/>
            <w:vAlign w:val="center"/>
          </w:tcPr>
          <w:p w14:paraId="2B45F20D"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1</w:t>
            </w:r>
          </w:p>
        </w:tc>
        <w:tc>
          <w:tcPr>
            <w:tcW w:w="4802" w:type="dxa"/>
            <w:tcBorders>
              <w:top w:val="single" w:sz="4" w:space="0" w:color="auto"/>
              <w:left w:val="nil"/>
              <w:bottom w:val="single" w:sz="4" w:space="0" w:color="auto"/>
              <w:right w:val="single" w:sz="4" w:space="0" w:color="auto"/>
            </w:tcBorders>
            <w:shd w:val="clear" w:color="auto" w:fill="auto"/>
            <w:vAlign w:val="center"/>
          </w:tcPr>
          <w:p w14:paraId="35639FEF"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试点工作启动以来，试点县（市、区）持续开展筛查、干预工作，得</w:t>
            </w:r>
            <w:r>
              <w:rPr>
                <w:rFonts w:ascii="仿宋_GB2312" w:hAnsi="等线" w:cs="宋体"/>
                <w:kern w:val="0"/>
                <w:sz w:val="21"/>
                <w:szCs w:val="21"/>
              </w:rPr>
              <w:t>1</w:t>
            </w:r>
            <w:r>
              <w:rPr>
                <w:rFonts w:ascii="仿宋_GB2312" w:hAnsi="等线" w:cs="宋体" w:hint="eastAsia"/>
                <w:kern w:val="0"/>
                <w:sz w:val="21"/>
                <w:szCs w:val="21"/>
              </w:rPr>
              <w:t>分。</w:t>
            </w:r>
          </w:p>
        </w:tc>
      </w:tr>
      <w:tr w:rsidR="00EC297E" w14:paraId="4D3A2DA9" w14:textId="77777777">
        <w:trPr>
          <w:trHeight w:val="1123"/>
          <w:jc w:val="center"/>
        </w:trPr>
        <w:tc>
          <w:tcPr>
            <w:tcW w:w="1142" w:type="dxa"/>
            <w:vMerge/>
            <w:tcBorders>
              <w:top w:val="nil"/>
              <w:left w:val="single" w:sz="4" w:space="0" w:color="auto"/>
              <w:bottom w:val="single" w:sz="4" w:space="0" w:color="auto"/>
              <w:right w:val="single" w:sz="4" w:space="0" w:color="auto"/>
            </w:tcBorders>
            <w:vAlign w:val="center"/>
          </w:tcPr>
          <w:p w14:paraId="4D4648F5"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1C69AF2E"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开展中医适宜技术防控儿童青少年近视相关研究工作。</w:t>
            </w:r>
          </w:p>
        </w:tc>
        <w:tc>
          <w:tcPr>
            <w:tcW w:w="650" w:type="dxa"/>
            <w:tcBorders>
              <w:top w:val="nil"/>
              <w:left w:val="nil"/>
              <w:bottom w:val="single" w:sz="4" w:space="0" w:color="auto"/>
              <w:right w:val="single" w:sz="4" w:space="0" w:color="auto"/>
            </w:tcBorders>
            <w:shd w:val="clear" w:color="auto" w:fill="auto"/>
            <w:vAlign w:val="center"/>
          </w:tcPr>
          <w:p w14:paraId="1D7238D3"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4</w:t>
            </w:r>
          </w:p>
        </w:tc>
        <w:tc>
          <w:tcPr>
            <w:tcW w:w="4802" w:type="dxa"/>
            <w:tcBorders>
              <w:top w:val="nil"/>
              <w:left w:val="nil"/>
              <w:bottom w:val="single" w:sz="4" w:space="0" w:color="auto"/>
              <w:right w:val="single" w:sz="4" w:space="0" w:color="auto"/>
            </w:tcBorders>
            <w:shd w:val="clear" w:color="auto" w:fill="auto"/>
            <w:vAlign w:val="center"/>
          </w:tcPr>
          <w:p w14:paraId="41FACA92"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开展中医适宜技术防控儿童青少年近视相关研究工作，有院级立项得0.</w:t>
            </w:r>
            <w:r>
              <w:rPr>
                <w:rFonts w:ascii="仿宋_GB2312" w:hAnsi="等线" w:cs="宋体"/>
                <w:kern w:val="0"/>
                <w:sz w:val="21"/>
                <w:szCs w:val="21"/>
              </w:rPr>
              <w:t>5</w:t>
            </w:r>
            <w:r>
              <w:rPr>
                <w:rFonts w:ascii="仿宋_GB2312" w:hAnsi="等线" w:cs="宋体" w:hint="eastAsia"/>
                <w:kern w:val="0"/>
                <w:sz w:val="21"/>
                <w:szCs w:val="21"/>
              </w:rPr>
              <w:t>分/项；有县（市、区）级及以上立项课题得</w:t>
            </w:r>
            <w:r>
              <w:rPr>
                <w:rFonts w:ascii="仿宋_GB2312" w:hAnsi="等线" w:cs="宋体"/>
                <w:kern w:val="0"/>
                <w:sz w:val="21"/>
                <w:szCs w:val="21"/>
              </w:rPr>
              <w:t>1</w:t>
            </w:r>
            <w:r>
              <w:rPr>
                <w:rFonts w:ascii="仿宋_GB2312" w:hAnsi="等线" w:cs="宋体" w:hint="eastAsia"/>
                <w:kern w:val="0"/>
                <w:sz w:val="21"/>
                <w:szCs w:val="21"/>
              </w:rPr>
              <w:t>分/项，满分4分。</w:t>
            </w:r>
          </w:p>
        </w:tc>
      </w:tr>
      <w:tr w:rsidR="00EC297E" w14:paraId="24C6786D" w14:textId="77777777">
        <w:trPr>
          <w:trHeight w:val="1249"/>
          <w:jc w:val="center"/>
        </w:trPr>
        <w:tc>
          <w:tcPr>
            <w:tcW w:w="1142" w:type="dxa"/>
            <w:vMerge/>
            <w:tcBorders>
              <w:top w:val="nil"/>
              <w:left w:val="single" w:sz="4" w:space="0" w:color="auto"/>
              <w:bottom w:val="single" w:sz="4" w:space="0" w:color="auto"/>
              <w:right w:val="single" w:sz="4" w:space="0" w:color="auto"/>
            </w:tcBorders>
            <w:vAlign w:val="center"/>
          </w:tcPr>
          <w:p w14:paraId="4BF69871"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4E42FE0B"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组织开展与中医适宜技术防控儿童青少年近视相关的地市级以上专业学术会议、交流论坛或省级及以上继续医学教育项目等。</w:t>
            </w:r>
          </w:p>
        </w:tc>
        <w:tc>
          <w:tcPr>
            <w:tcW w:w="650" w:type="dxa"/>
            <w:tcBorders>
              <w:top w:val="nil"/>
              <w:left w:val="nil"/>
              <w:bottom w:val="single" w:sz="4" w:space="0" w:color="auto"/>
              <w:right w:val="single" w:sz="4" w:space="0" w:color="auto"/>
            </w:tcBorders>
            <w:shd w:val="clear" w:color="auto" w:fill="auto"/>
            <w:vAlign w:val="center"/>
          </w:tcPr>
          <w:p w14:paraId="7B18C169"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4</w:t>
            </w:r>
          </w:p>
        </w:tc>
        <w:tc>
          <w:tcPr>
            <w:tcW w:w="4802" w:type="dxa"/>
            <w:tcBorders>
              <w:top w:val="nil"/>
              <w:left w:val="nil"/>
              <w:bottom w:val="single" w:sz="4" w:space="0" w:color="auto"/>
              <w:right w:val="single" w:sz="4" w:space="0" w:color="auto"/>
            </w:tcBorders>
            <w:shd w:val="clear" w:color="auto" w:fill="auto"/>
            <w:vAlign w:val="center"/>
          </w:tcPr>
          <w:p w14:paraId="7FC0DC0A"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组织开展与中医适宜技术防控儿童青少年近视相关的地市级以上专业学术会议、交流论坛或省级及以上继续医学教育项目等，2分/项，满分4分。</w:t>
            </w:r>
          </w:p>
        </w:tc>
      </w:tr>
      <w:tr w:rsidR="00EC297E" w14:paraId="1D9C6D68" w14:textId="77777777">
        <w:trPr>
          <w:trHeight w:val="1170"/>
          <w:jc w:val="center"/>
        </w:trPr>
        <w:tc>
          <w:tcPr>
            <w:tcW w:w="1142" w:type="dxa"/>
            <w:vMerge/>
            <w:tcBorders>
              <w:top w:val="nil"/>
              <w:left w:val="single" w:sz="4" w:space="0" w:color="auto"/>
              <w:bottom w:val="single" w:sz="4" w:space="0" w:color="auto"/>
              <w:right w:val="single" w:sz="4" w:space="0" w:color="auto"/>
            </w:tcBorders>
            <w:vAlign w:val="center"/>
          </w:tcPr>
          <w:p w14:paraId="6D06ACC3"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341E9367"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在中医适宜技术防控儿童青少年近视上取得突破性进展，或创新方式方法，高效推进筛查评估和适宜技术推广应用工作。</w:t>
            </w:r>
          </w:p>
        </w:tc>
        <w:tc>
          <w:tcPr>
            <w:tcW w:w="650" w:type="dxa"/>
            <w:tcBorders>
              <w:top w:val="nil"/>
              <w:left w:val="nil"/>
              <w:bottom w:val="single" w:sz="4" w:space="0" w:color="auto"/>
              <w:right w:val="single" w:sz="4" w:space="0" w:color="auto"/>
            </w:tcBorders>
            <w:shd w:val="clear" w:color="auto" w:fill="auto"/>
            <w:vAlign w:val="center"/>
          </w:tcPr>
          <w:p w14:paraId="140992E3"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6</w:t>
            </w:r>
          </w:p>
        </w:tc>
        <w:tc>
          <w:tcPr>
            <w:tcW w:w="4802" w:type="dxa"/>
            <w:tcBorders>
              <w:top w:val="nil"/>
              <w:left w:val="nil"/>
              <w:bottom w:val="single" w:sz="4" w:space="0" w:color="auto"/>
              <w:right w:val="single" w:sz="4" w:space="0" w:color="auto"/>
            </w:tcBorders>
            <w:shd w:val="clear" w:color="auto" w:fill="auto"/>
            <w:vAlign w:val="center"/>
          </w:tcPr>
          <w:p w14:paraId="4E54D858"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1</w:t>
            </w:r>
            <w:r>
              <w:rPr>
                <w:rFonts w:ascii="仿宋_GB2312" w:hAnsi="等线" w:cs="宋体"/>
                <w:kern w:val="0"/>
                <w:sz w:val="21"/>
                <w:szCs w:val="21"/>
              </w:rPr>
              <w:t>.</w:t>
            </w:r>
            <w:r>
              <w:rPr>
                <w:rFonts w:ascii="仿宋_GB2312" w:hAnsi="等线" w:cs="宋体" w:hint="eastAsia"/>
                <w:kern w:val="0"/>
                <w:sz w:val="21"/>
                <w:szCs w:val="21"/>
              </w:rPr>
              <w:t>在中医适宜技术防控儿童青少年近视上取得突破性进展，得3分。</w:t>
            </w:r>
          </w:p>
          <w:p w14:paraId="27FC858E"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2</w:t>
            </w:r>
            <w:r>
              <w:rPr>
                <w:rFonts w:ascii="仿宋_GB2312" w:hAnsi="等线" w:cs="宋体"/>
                <w:kern w:val="0"/>
                <w:sz w:val="21"/>
                <w:szCs w:val="21"/>
              </w:rPr>
              <w:t>.</w:t>
            </w:r>
            <w:r>
              <w:rPr>
                <w:rFonts w:ascii="仿宋_GB2312" w:hAnsi="等线" w:cs="宋体" w:hint="eastAsia"/>
                <w:kern w:val="0"/>
                <w:sz w:val="21"/>
                <w:szCs w:val="21"/>
              </w:rPr>
              <w:t>创新方式方法，高效推进筛查评估和适宜技术推广应用工作，得3分。</w:t>
            </w:r>
          </w:p>
        </w:tc>
      </w:tr>
      <w:tr w:rsidR="00EC297E" w14:paraId="2B8C6D2F" w14:textId="77777777">
        <w:trPr>
          <w:trHeight w:val="647"/>
          <w:jc w:val="center"/>
        </w:trPr>
        <w:tc>
          <w:tcPr>
            <w:tcW w:w="1142" w:type="dxa"/>
            <w:vMerge/>
            <w:tcBorders>
              <w:top w:val="nil"/>
              <w:left w:val="single" w:sz="4" w:space="0" w:color="auto"/>
              <w:bottom w:val="single" w:sz="4" w:space="0" w:color="auto"/>
              <w:right w:val="single" w:sz="4" w:space="0" w:color="auto"/>
            </w:tcBorders>
            <w:vAlign w:val="center"/>
          </w:tcPr>
          <w:p w14:paraId="151DF9F0" w14:textId="77777777" w:rsidR="00EC297E" w:rsidRDefault="00EC297E">
            <w:pPr>
              <w:widowControl/>
              <w:spacing w:line="240" w:lineRule="auto"/>
              <w:ind w:firstLine="0"/>
              <w:jc w:val="center"/>
              <w:rPr>
                <w:rFonts w:ascii="仿宋_GB2312" w:hAnsi="等线" w:cs="宋体"/>
                <w:kern w:val="0"/>
                <w:sz w:val="21"/>
                <w:szCs w:val="21"/>
              </w:rPr>
            </w:pPr>
          </w:p>
        </w:tc>
        <w:tc>
          <w:tcPr>
            <w:tcW w:w="3443" w:type="dxa"/>
            <w:tcBorders>
              <w:top w:val="nil"/>
              <w:left w:val="nil"/>
              <w:bottom w:val="single" w:sz="4" w:space="0" w:color="auto"/>
              <w:right w:val="single" w:sz="4" w:space="0" w:color="auto"/>
            </w:tcBorders>
            <w:shd w:val="clear" w:color="auto" w:fill="auto"/>
            <w:vAlign w:val="center"/>
          </w:tcPr>
          <w:p w14:paraId="3A0A26C8"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统筹安排专项资金支持试点工作。</w:t>
            </w:r>
          </w:p>
        </w:tc>
        <w:tc>
          <w:tcPr>
            <w:tcW w:w="650" w:type="dxa"/>
            <w:tcBorders>
              <w:top w:val="nil"/>
              <w:left w:val="nil"/>
              <w:bottom w:val="single" w:sz="4" w:space="0" w:color="auto"/>
              <w:right w:val="single" w:sz="4" w:space="0" w:color="auto"/>
            </w:tcBorders>
            <w:shd w:val="clear" w:color="auto" w:fill="auto"/>
            <w:vAlign w:val="center"/>
          </w:tcPr>
          <w:p w14:paraId="327EA225" w14:textId="77777777" w:rsidR="00EC297E" w:rsidRDefault="00000000">
            <w:pPr>
              <w:widowControl/>
              <w:spacing w:line="240" w:lineRule="auto"/>
              <w:ind w:firstLine="0"/>
              <w:jc w:val="center"/>
              <w:rPr>
                <w:rFonts w:ascii="仿宋_GB2312" w:hAnsi="等线" w:cs="宋体"/>
                <w:kern w:val="0"/>
                <w:sz w:val="21"/>
                <w:szCs w:val="21"/>
              </w:rPr>
            </w:pPr>
            <w:r>
              <w:rPr>
                <w:rFonts w:ascii="仿宋_GB2312" w:hAnsi="等线" w:cs="宋体"/>
                <w:kern w:val="0"/>
                <w:sz w:val="21"/>
                <w:szCs w:val="21"/>
              </w:rPr>
              <w:t>5</w:t>
            </w:r>
          </w:p>
        </w:tc>
        <w:tc>
          <w:tcPr>
            <w:tcW w:w="4802" w:type="dxa"/>
            <w:tcBorders>
              <w:top w:val="nil"/>
              <w:left w:val="nil"/>
              <w:bottom w:val="single" w:sz="4" w:space="0" w:color="auto"/>
              <w:right w:val="single" w:sz="4" w:space="0" w:color="auto"/>
            </w:tcBorders>
            <w:shd w:val="clear" w:color="auto" w:fill="auto"/>
            <w:vAlign w:val="center"/>
          </w:tcPr>
          <w:p w14:paraId="3F1F36F7" w14:textId="77777777" w:rsidR="00EC297E"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统筹安排专项资金支持试点工作，得</w:t>
            </w:r>
            <w:r>
              <w:rPr>
                <w:rFonts w:ascii="仿宋_GB2312" w:hAnsi="等线" w:cs="宋体"/>
                <w:kern w:val="0"/>
                <w:sz w:val="21"/>
                <w:szCs w:val="21"/>
              </w:rPr>
              <w:t>5</w:t>
            </w:r>
            <w:r>
              <w:rPr>
                <w:rFonts w:ascii="仿宋_GB2312" w:hAnsi="等线" w:cs="宋体" w:hint="eastAsia"/>
                <w:kern w:val="0"/>
                <w:sz w:val="21"/>
                <w:szCs w:val="21"/>
              </w:rPr>
              <w:t>分。</w:t>
            </w:r>
          </w:p>
        </w:tc>
      </w:tr>
    </w:tbl>
    <w:p w14:paraId="45457A8B" w14:textId="77777777" w:rsidR="00EC297E" w:rsidRDefault="00000000">
      <w:pPr>
        <w:spacing w:line="500" w:lineRule="exact"/>
        <w:ind w:left="1205" w:hangingChars="400" w:hanging="1205"/>
        <w:rPr>
          <w:rFonts w:ascii="仿宋_GB2312" w:hAnsi="黑体" w:cs="黑体"/>
          <w:snapToGrid w:val="0"/>
          <w:kern w:val="0"/>
          <w:szCs w:val="30"/>
        </w:rPr>
      </w:pPr>
      <w:r>
        <w:rPr>
          <w:rFonts w:ascii="仿宋_GB2312" w:hAnsi="黑体" w:cs="黑体" w:hint="eastAsia"/>
          <w:b/>
          <w:bCs/>
          <w:snapToGrid w:val="0"/>
          <w:kern w:val="0"/>
          <w:szCs w:val="30"/>
        </w:rPr>
        <w:t>说明：</w:t>
      </w:r>
      <w:r>
        <w:rPr>
          <w:rFonts w:ascii="仿宋_GB2312" w:hAnsi="黑体" w:cs="黑体" w:hint="eastAsia"/>
          <w:snapToGrid w:val="0"/>
          <w:kern w:val="0"/>
          <w:szCs w:val="30"/>
        </w:rPr>
        <w:t>1</w:t>
      </w:r>
      <w:r>
        <w:rPr>
          <w:rFonts w:ascii="仿宋_GB2312" w:hAnsi="黑体" w:cs="黑体"/>
          <w:snapToGrid w:val="0"/>
          <w:kern w:val="0"/>
          <w:szCs w:val="30"/>
        </w:rPr>
        <w:t>.</w:t>
      </w:r>
      <w:r>
        <w:rPr>
          <w:rFonts w:ascii="仿宋_GB2312" w:hAnsi="黑体" w:cs="黑体" w:hint="eastAsia"/>
          <w:snapToGrid w:val="0"/>
          <w:kern w:val="0"/>
          <w:szCs w:val="30"/>
        </w:rPr>
        <w:t>基础指标包含试点工作组织管理、儿童青少年近视防控综合管理、儿童青少年近视健康教育、适宜技术推广，总分1</w:t>
      </w:r>
      <w:r>
        <w:rPr>
          <w:rFonts w:ascii="仿宋_GB2312" w:hAnsi="黑体" w:cs="黑体"/>
          <w:snapToGrid w:val="0"/>
          <w:kern w:val="0"/>
          <w:szCs w:val="30"/>
        </w:rPr>
        <w:t>00</w:t>
      </w:r>
      <w:r>
        <w:rPr>
          <w:rFonts w:ascii="仿宋_GB2312" w:hAnsi="黑体" w:cs="黑体" w:hint="eastAsia"/>
          <w:snapToGrid w:val="0"/>
          <w:kern w:val="0"/>
          <w:szCs w:val="30"/>
        </w:rPr>
        <w:t>分；加分指标总分2</w:t>
      </w:r>
      <w:r>
        <w:rPr>
          <w:rFonts w:ascii="仿宋_GB2312" w:hAnsi="黑体" w:cs="黑体"/>
          <w:snapToGrid w:val="0"/>
          <w:kern w:val="0"/>
          <w:szCs w:val="30"/>
        </w:rPr>
        <w:t>0</w:t>
      </w:r>
      <w:r>
        <w:rPr>
          <w:rFonts w:ascii="仿宋_GB2312" w:hAnsi="黑体" w:cs="黑体" w:hint="eastAsia"/>
          <w:snapToGrid w:val="0"/>
          <w:kern w:val="0"/>
          <w:szCs w:val="30"/>
        </w:rPr>
        <w:t>分。</w:t>
      </w:r>
    </w:p>
    <w:p w14:paraId="2055D662" w14:textId="77777777" w:rsidR="00EC297E" w:rsidRDefault="00000000">
      <w:pPr>
        <w:spacing w:line="500" w:lineRule="exact"/>
        <w:ind w:leftChars="300" w:left="1200" w:hangingChars="100" w:hanging="300"/>
        <w:rPr>
          <w:rFonts w:ascii="仿宋_GB2312" w:hAnsi="仿宋"/>
          <w:snapToGrid w:val="0"/>
          <w:kern w:val="0"/>
          <w:szCs w:val="30"/>
        </w:rPr>
      </w:pPr>
      <w:r>
        <w:rPr>
          <w:rFonts w:ascii="仿宋_GB2312" w:hAnsi="黑体" w:cs="黑体" w:hint="eastAsia"/>
          <w:snapToGrid w:val="0"/>
          <w:kern w:val="0"/>
          <w:szCs w:val="30"/>
        </w:rPr>
        <w:t>2</w:t>
      </w:r>
      <w:r>
        <w:rPr>
          <w:rFonts w:ascii="仿宋_GB2312" w:hAnsi="黑体" w:cs="黑体"/>
          <w:snapToGrid w:val="0"/>
          <w:kern w:val="0"/>
          <w:szCs w:val="30"/>
        </w:rPr>
        <w:t>.</w:t>
      </w:r>
      <w:r>
        <w:rPr>
          <w:rFonts w:ascii="仿宋_GB2312" w:hAnsi="黑体" w:cs="黑体" w:hint="eastAsia"/>
          <w:snapToGrid w:val="0"/>
          <w:kern w:val="0"/>
          <w:szCs w:val="30"/>
        </w:rPr>
        <w:t>由</w:t>
      </w:r>
      <w:r>
        <w:rPr>
          <w:rFonts w:ascii="仿宋_GB2312" w:hAnsi="仿宋" w:hint="eastAsia"/>
          <w:snapToGrid w:val="0"/>
          <w:kern w:val="0"/>
          <w:szCs w:val="30"/>
        </w:rPr>
        <w:t>各省级中医药主管部门联合相关部门对试点县（市、区）进行评分，评分结果以“基础分+加分”形式呈现。</w:t>
      </w:r>
    </w:p>
    <w:sectPr w:rsidR="00EC297E" w:rsidSect="00DB34A2">
      <w:headerReference w:type="even" r:id="rId7"/>
      <w:headerReference w:type="default" r:id="rId8"/>
      <w:footerReference w:type="even" r:id="rId9"/>
      <w:footerReference w:type="default" r:id="rId10"/>
      <w:pgSz w:w="11906" w:h="16838"/>
      <w:pgMar w:top="1701" w:right="1531" w:bottom="1701" w:left="1531" w:header="720" w:footer="720" w:gutter="0"/>
      <w:pgNumType w:start="5"/>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41CF6" w14:textId="77777777" w:rsidR="00BE6B8C" w:rsidRDefault="00BE6B8C">
      <w:pPr>
        <w:spacing w:line="240" w:lineRule="auto"/>
      </w:pPr>
      <w:r>
        <w:separator/>
      </w:r>
    </w:p>
  </w:endnote>
  <w:endnote w:type="continuationSeparator" w:id="0">
    <w:p w14:paraId="75D4868A" w14:textId="77777777" w:rsidR="00BE6B8C" w:rsidRDefault="00BE6B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altName w:val="方正楷体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8A24F" w14:textId="77777777" w:rsidR="00EC297E" w:rsidRDefault="00000000">
    <w:pPr>
      <w:pStyle w:val="ac"/>
      <w:ind w:rightChars="100" w:right="300" w:firstLineChars="100" w:firstLine="280"/>
      <w:rPr>
        <w:rFonts w:asciiTheme="majorEastAsia" w:eastAsiaTheme="majorEastAsia" w:hAnsiTheme="majorEastAsia"/>
        <w:sz w:val="28"/>
      </w:rPr>
    </w:pPr>
    <w:sdt>
      <w:sdtPr>
        <w:rPr>
          <w:rFonts w:asciiTheme="majorEastAsia" w:eastAsiaTheme="majorEastAsia" w:hAnsiTheme="majorEastAsia"/>
          <w:sz w:val="28"/>
        </w:rPr>
        <w:id w:val="444892909"/>
      </w:sdtPr>
      <w:sdtContent>
        <w:r>
          <w:rPr>
            <w:rFonts w:asciiTheme="majorEastAsia" w:eastAsiaTheme="majorEastAsia" w:hAnsiTheme="majorEastAsia" w:hint="eastAsia"/>
            <w:sz w:val="28"/>
          </w:rPr>
          <w:t xml:space="preserve">— </w:t>
        </w:r>
        <w:sdt>
          <w:sdtPr>
            <w:rPr>
              <w:rFonts w:asciiTheme="majorEastAsia" w:eastAsiaTheme="majorEastAsia" w:hAnsiTheme="majorEastAsia"/>
              <w:sz w:val="28"/>
            </w:rPr>
            <w:id w:val="-988785102"/>
          </w:sdtPr>
          <w:sdtContent>
            <w:r>
              <w:rPr>
                <w:rFonts w:asciiTheme="majorEastAsia" w:eastAsiaTheme="majorEastAsia" w:hAnsiTheme="majorEastAsia"/>
                <w:sz w:val="28"/>
              </w:rPr>
              <w:fldChar w:fldCharType="begin"/>
            </w:r>
            <w:r>
              <w:rPr>
                <w:rFonts w:asciiTheme="majorEastAsia" w:eastAsiaTheme="majorEastAsia" w:hAnsiTheme="majorEastAsia"/>
                <w:sz w:val="28"/>
              </w:rPr>
              <w:instrText xml:space="preserve"> PAGE   \* MERGEFORMAT </w:instrText>
            </w:r>
            <w:r>
              <w:rPr>
                <w:rFonts w:asciiTheme="majorEastAsia" w:eastAsiaTheme="majorEastAsia" w:hAnsiTheme="majorEastAsia"/>
                <w:sz w:val="28"/>
              </w:rPr>
              <w:fldChar w:fldCharType="separate"/>
            </w:r>
            <w:r>
              <w:rPr>
                <w:rFonts w:asciiTheme="majorEastAsia" w:eastAsiaTheme="majorEastAsia" w:hAnsiTheme="majorEastAsia"/>
                <w:sz w:val="28"/>
                <w:lang w:val="zh-CN"/>
              </w:rPr>
              <w:t>100</w:t>
            </w:r>
            <w:r>
              <w:rPr>
                <w:rFonts w:asciiTheme="majorEastAsia" w:eastAsiaTheme="majorEastAsia" w:hAnsiTheme="majorEastAsia"/>
                <w:sz w:val="28"/>
                <w:lang w:val="zh-CN"/>
              </w:rPr>
              <w:t>4</w:t>
            </w:r>
            <w:r>
              <w:rPr>
                <w:rFonts w:asciiTheme="majorEastAsia" w:eastAsiaTheme="majorEastAsia" w:hAnsiTheme="majorEastAsia"/>
                <w:sz w:val="28"/>
              </w:rPr>
              <w:fldChar w:fldCharType="end"/>
            </w:r>
            <w:r>
              <w:rPr>
                <w:rFonts w:asciiTheme="majorEastAsia" w:eastAsiaTheme="majorEastAsia" w:hAnsiTheme="majorEastAsia" w:hint="eastAsia"/>
                <w:sz w:val="28"/>
              </w:rPr>
              <w:t xml:space="preserve"> —</w:t>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987F0" w14:textId="77777777" w:rsidR="00EC297E" w:rsidRDefault="00000000">
    <w:pPr>
      <w:tabs>
        <w:tab w:val="center" w:pos="4153"/>
        <w:tab w:val="right" w:pos="8306"/>
      </w:tabs>
      <w:spacing w:line="240" w:lineRule="auto"/>
      <w:ind w:leftChars="100" w:left="300" w:rightChars="100" w:right="300" w:firstLine="0"/>
      <w:jc w:val="right"/>
      <w:rPr>
        <w:rFonts w:asciiTheme="majorEastAsia" w:eastAsiaTheme="majorEastAsia" w:hAnsiTheme="majorEastAsia"/>
        <w:sz w:val="18"/>
        <w:szCs w:val="18"/>
      </w:rPr>
    </w:pPr>
    <w:r>
      <w:rPr>
        <w:rFonts w:asciiTheme="majorEastAsia" w:eastAsiaTheme="majorEastAsia" w:hAnsiTheme="majorEastAsia" w:hint="eastAsia"/>
        <w:sz w:val="28"/>
      </w:rPr>
      <w:t xml:space="preserve">— </w:t>
    </w:r>
    <w:sdt>
      <w:sdtPr>
        <w:rPr>
          <w:rFonts w:asciiTheme="majorEastAsia" w:eastAsiaTheme="majorEastAsia" w:hAnsiTheme="majorEastAsia"/>
          <w:sz w:val="28"/>
        </w:rPr>
        <w:id w:val="-1066713294"/>
      </w:sdtPr>
      <w:sdtContent>
        <w:r>
          <w:rPr>
            <w:rFonts w:asciiTheme="majorEastAsia" w:eastAsiaTheme="majorEastAsia" w:hAnsiTheme="majorEastAsia"/>
            <w:sz w:val="28"/>
          </w:rPr>
          <w:fldChar w:fldCharType="begin"/>
        </w:r>
        <w:r>
          <w:rPr>
            <w:rFonts w:asciiTheme="majorEastAsia" w:eastAsiaTheme="majorEastAsia" w:hAnsiTheme="majorEastAsia"/>
            <w:sz w:val="28"/>
          </w:rPr>
          <w:instrText xml:space="preserve"> PAGE   \* MERGEFORMAT </w:instrText>
        </w:r>
        <w:r>
          <w:rPr>
            <w:rFonts w:asciiTheme="majorEastAsia" w:eastAsiaTheme="majorEastAsia" w:hAnsiTheme="majorEastAsia"/>
            <w:sz w:val="28"/>
          </w:rPr>
          <w:fldChar w:fldCharType="separate"/>
        </w:r>
        <w:r>
          <w:rPr>
            <w:rFonts w:asciiTheme="majorEastAsia" w:eastAsiaTheme="majorEastAsia" w:hAnsiTheme="majorEastAsia"/>
            <w:sz w:val="28"/>
            <w:lang w:val="zh-CN"/>
          </w:rPr>
          <w:t>1004</w:t>
        </w:r>
        <w:r>
          <w:rPr>
            <w:rFonts w:asciiTheme="majorEastAsia" w:eastAsiaTheme="majorEastAsia" w:hAnsiTheme="majorEastAsia"/>
            <w:sz w:val="28"/>
          </w:rPr>
          <w:fldChar w:fldCharType="end"/>
        </w:r>
        <w:r>
          <w:rPr>
            <w:rFonts w:asciiTheme="majorEastAsia" w:eastAsiaTheme="majorEastAsia" w:hAnsiTheme="majorEastAsia" w:hint="eastAsia"/>
            <w:sz w:val="28"/>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92D88" w14:textId="77777777" w:rsidR="00BE6B8C" w:rsidRDefault="00BE6B8C">
      <w:pPr>
        <w:spacing w:line="240" w:lineRule="auto"/>
      </w:pPr>
      <w:r>
        <w:separator/>
      </w:r>
    </w:p>
  </w:footnote>
  <w:footnote w:type="continuationSeparator" w:id="0">
    <w:p w14:paraId="26B43415" w14:textId="77777777" w:rsidR="00BE6B8C" w:rsidRDefault="00BE6B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6E8C3" w14:textId="77777777" w:rsidR="00EC297E" w:rsidRDefault="00EC297E">
    <w:pPr>
      <w:tabs>
        <w:tab w:val="center" w:pos="4153"/>
        <w:tab w:val="right" w:pos="8306"/>
      </w:tabs>
      <w:rPr>
        <w:rFonts w:ascii="Calibri" w:eastAsia="宋体" w:hAnsi="Calibri" w:cs="宋体"/>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C8581" w14:textId="77777777" w:rsidR="00EC297E" w:rsidRDefault="00EC297E">
    <w:pPr>
      <w:pStyle w:val="ae"/>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evenAndOddHeaders/>
  <w:drawingGridHorizontalSpacing w:val="150"/>
  <w:drawingGridVerticalSpacing w:val="21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A5C"/>
    <w:rsid w:val="93DF256D"/>
    <w:rsid w:val="9BDDDCF2"/>
    <w:rsid w:val="9CFCA00C"/>
    <w:rsid w:val="9D4B5CFF"/>
    <w:rsid w:val="9F7D12A0"/>
    <w:rsid w:val="A5FBE4FA"/>
    <w:rsid w:val="AE4BA9DC"/>
    <w:rsid w:val="AFFE5DA9"/>
    <w:rsid w:val="B796E6CF"/>
    <w:rsid w:val="B8BEFC5C"/>
    <w:rsid w:val="BA7B23C6"/>
    <w:rsid w:val="BE97DE92"/>
    <w:rsid w:val="BEAF4F7D"/>
    <w:rsid w:val="BF7D6A4E"/>
    <w:rsid w:val="BFB93AB1"/>
    <w:rsid w:val="BFBEB2FE"/>
    <w:rsid w:val="BFDAF7E2"/>
    <w:rsid w:val="BFDF34C0"/>
    <w:rsid w:val="BFEDA49B"/>
    <w:rsid w:val="BFEF6CE1"/>
    <w:rsid w:val="BFFF8569"/>
    <w:rsid w:val="C77B5BA1"/>
    <w:rsid w:val="CB5FDFE7"/>
    <w:rsid w:val="CDDC2638"/>
    <w:rsid w:val="CF74C0F8"/>
    <w:rsid w:val="D3771018"/>
    <w:rsid w:val="DACD1456"/>
    <w:rsid w:val="DBFF8BF4"/>
    <w:rsid w:val="DBFF8E38"/>
    <w:rsid w:val="DCFF65B8"/>
    <w:rsid w:val="DF2492BD"/>
    <w:rsid w:val="DFAFE55A"/>
    <w:rsid w:val="E7FEF87C"/>
    <w:rsid w:val="E8E75E79"/>
    <w:rsid w:val="E9AACD37"/>
    <w:rsid w:val="EA7F33A9"/>
    <w:rsid w:val="EFFF5358"/>
    <w:rsid w:val="F28C936A"/>
    <w:rsid w:val="F5B5022B"/>
    <w:rsid w:val="F5F23ECA"/>
    <w:rsid w:val="F5FFC48B"/>
    <w:rsid w:val="F66C2D74"/>
    <w:rsid w:val="F6E7A4D7"/>
    <w:rsid w:val="F73747F9"/>
    <w:rsid w:val="F77EE6CB"/>
    <w:rsid w:val="F77FEA40"/>
    <w:rsid w:val="F7DF98CF"/>
    <w:rsid w:val="F7FE4DDF"/>
    <w:rsid w:val="F9997286"/>
    <w:rsid w:val="F99FF0CE"/>
    <w:rsid w:val="F9D8A366"/>
    <w:rsid w:val="FA3F9772"/>
    <w:rsid w:val="FA7C5E0C"/>
    <w:rsid w:val="FBFF03DF"/>
    <w:rsid w:val="FDDF8AC6"/>
    <w:rsid w:val="FDFD000F"/>
    <w:rsid w:val="FE734873"/>
    <w:rsid w:val="FEEFA8A2"/>
    <w:rsid w:val="FEFE7E4A"/>
    <w:rsid w:val="FF77E3BE"/>
    <w:rsid w:val="FFAF2E56"/>
    <w:rsid w:val="FFB30F71"/>
    <w:rsid w:val="FFCBCBD4"/>
    <w:rsid w:val="FFDF0D1F"/>
    <w:rsid w:val="FFDFBB13"/>
    <w:rsid w:val="FFFB8806"/>
    <w:rsid w:val="FFFCEBFA"/>
    <w:rsid w:val="FFFE51C4"/>
    <w:rsid w:val="FFFF5409"/>
    <w:rsid w:val="FFFFAA29"/>
    <w:rsid w:val="FFFFF4E9"/>
    <w:rsid w:val="00005A12"/>
    <w:rsid w:val="0001106C"/>
    <w:rsid w:val="000258FC"/>
    <w:rsid w:val="0003740A"/>
    <w:rsid w:val="00041B2D"/>
    <w:rsid w:val="000502A6"/>
    <w:rsid w:val="00062385"/>
    <w:rsid w:val="00066CD5"/>
    <w:rsid w:val="000707AA"/>
    <w:rsid w:val="00072ECE"/>
    <w:rsid w:val="00075A3A"/>
    <w:rsid w:val="000768BA"/>
    <w:rsid w:val="0009208A"/>
    <w:rsid w:val="000945C7"/>
    <w:rsid w:val="000A7968"/>
    <w:rsid w:val="000C6902"/>
    <w:rsid w:val="000C7412"/>
    <w:rsid w:val="000F7A37"/>
    <w:rsid w:val="0010761A"/>
    <w:rsid w:val="00120BFD"/>
    <w:rsid w:val="0013332B"/>
    <w:rsid w:val="00197661"/>
    <w:rsid w:val="001B6C5F"/>
    <w:rsid w:val="001C535E"/>
    <w:rsid w:val="001C63BC"/>
    <w:rsid w:val="001D1B9A"/>
    <w:rsid w:val="001D1DC0"/>
    <w:rsid w:val="001D1E0F"/>
    <w:rsid w:val="001E5F73"/>
    <w:rsid w:val="001F4C24"/>
    <w:rsid w:val="0020163C"/>
    <w:rsid w:val="002036A4"/>
    <w:rsid w:val="002126BB"/>
    <w:rsid w:val="00225A2C"/>
    <w:rsid w:val="0022744D"/>
    <w:rsid w:val="002341B4"/>
    <w:rsid w:val="00237FA2"/>
    <w:rsid w:val="0024551F"/>
    <w:rsid w:val="00265900"/>
    <w:rsid w:val="002739D5"/>
    <w:rsid w:val="002745AF"/>
    <w:rsid w:val="00274EC2"/>
    <w:rsid w:val="00275CA3"/>
    <w:rsid w:val="002848BA"/>
    <w:rsid w:val="0029255E"/>
    <w:rsid w:val="002961C4"/>
    <w:rsid w:val="002A0046"/>
    <w:rsid w:val="002A21C1"/>
    <w:rsid w:val="002D1E95"/>
    <w:rsid w:val="002F3C2B"/>
    <w:rsid w:val="002F4C8E"/>
    <w:rsid w:val="002F4DFC"/>
    <w:rsid w:val="002F685D"/>
    <w:rsid w:val="00306612"/>
    <w:rsid w:val="00315222"/>
    <w:rsid w:val="00317C70"/>
    <w:rsid w:val="00320B77"/>
    <w:rsid w:val="00343F56"/>
    <w:rsid w:val="00344F43"/>
    <w:rsid w:val="00345BFA"/>
    <w:rsid w:val="0034689C"/>
    <w:rsid w:val="00361A80"/>
    <w:rsid w:val="0036321A"/>
    <w:rsid w:val="00364F11"/>
    <w:rsid w:val="00365727"/>
    <w:rsid w:val="00372147"/>
    <w:rsid w:val="003739AF"/>
    <w:rsid w:val="00386340"/>
    <w:rsid w:val="003867C0"/>
    <w:rsid w:val="00391651"/>
    <w:rsid w:val="003A5B28"/>
    <w:rsid w:val="003B0033"/>
    <w:rsid w:val="003B106E"/>
    <w:rsid w:val="003C00CF"/>
    <w:rsid w:val="003C023C"/>
    <w:rsid w:val="003C2588"/>
    <w:rsid w:val="003E30E3"/>
    <w:rsid w:val="003E5286"/>
    <w:rsid w:val="003F0AD6"/>
    <w:rsid w:val="0040430D"/>
    <w:rsid w:val="0041219D"/>
    <w:rsid w:val="004238DD"/>
    <w:rsid w:val="0043493F"/>
    <w:rsid w:val="00442C1F"/>
    <w:rsid w:val="00446A55"/>
    <w:rsid w:val="00457CA2"/>
    <w:rsid w:val="00464C74"/>
    <w:rsid w:val="004664F1"/>
    <w:rsid w:val="004829DB"/>
    <w:rsid w:val="004846A6"/>
    <w:rsid w:val="00484E8B"/>
    <w:rsid w:val="004A5770"/>
    <w:rsid w:val="004A712B"/>
    <w:rsid w:val="004C14CE"/>
    <w:rsid w:val="004C776F"/>
    <w:rsid w:val="004F25DA"/>
    <w:rsid w:val="004F28EE"/>
    <w:rsid w:val="004F64AC"/>
    <w:rsid w:val="00503378"/>
    <w:rsid w:val="0052164C"/>
    <w:rsid w:val="00523004"/>
    <w:rsid w:val="005244E8"/>
    <w:rsid w:val="0053124F"/>
    <w:rsid w:val="0054570D"/>
    <w:rsid w:val="005467B8"/>
    <w:rsid w:val="00554037"/>
    <w:rsid w:val="00556712"/>
    <w:rsid w:val="005648B0"/>
    <w:rsid w:val="00570EC4"/>
    <w:rsid w:val="005744FB"/>
    <w:rsid w:val="005750D7"/>
    <w:rsid w:val="00576506"/>
    <w:rsid w:val="00591509"/>
    <w:rsid w:val="00594759"/>
    <w:rsid w:val="005949A3"/>
    <w:rsid w:val="005B2FE8"/>
    <w:rsid w:val="005C2311"/>
    <w:rsid w:val="005D1253"/>
    <w:rsid w:val="005D5F0F"/>
    <w:rsid w:val="005E02E1"/>
    <w:rsid w:val="005E2706"/>
    <w:rsid w:val="005E3E0C"/>
    <w:rsid w:val="005E43CD"/>
    <w:rsid w:val="005F13B7"/>
    <w:rsid w:val="005F391D"/>
    <w:rsid w:val="00610664"/>
    <w:rsid w:val="006129D4"/>
    <w:rsid w:val="006241EC"/>
    <w:rsid w:val="006271AB"/>
    <w:rsid w:val="0067231A"/>
    <w:rsid w:val="0068005E"/>
    <w:rsid w:val="006854AA"/>
    <w:rsid w:val="00687B38"/>
    <w:rsid w:val="00691016"/>
    <w:rsid w:val="006A1BBB"/>
    <w:rsid w:val="006A7642"/>
    <w:rsid w:val="006B7012"/>
    <w:rsid w:val="006C16F3"/>
    <w:rsid w:val="006D29FF"/>
    <w:rsid w:val="006E0F78"/>
    <w:rsid w:val="006E728F"/>
    <w:rsid w:val="0070114B"/>
    <w:rsid w:val="00703DF1"/>
    <w:rsid w:val="00711D59"/>
    <w:rsid w:val="00721664"/>
    <w:rsid w:val="007217A1"/>
    <w:rsid w:val="007227ED"/>
    <w:rsid w:val="00722B83"/>
    <w:rsid w:val="00731FA1"/>
    <w:rsid w:val="00741096"/>
    <w:rsid w:val="007416CC"/>
    <w:rsid w:val="007430B0"/>
    <w:rsid w:val="00762252"/>
    <w:rsid w:val="00766D60"/>
    <w:rsid w:val="00783918"/>
    <w:rsid w:val="007B1BA1"/>
    <w:rsid w:val="007C2DC9"/>
    <w:rsid w:val="007D2787"/>
    <w:rsid w:val="007E5150"/>
    <w:rsid w:val="007F0572"/>
    <w:rsid w:val="007F1715"/>
    <w:rsid w:val="00805C91"/>
    <w:rsid w:val="008157FC"/>
    <w:rsid w:val="00820DC9"/>
    <w:rsid w:val="008222EB"/>
    <w:rsid w:val="008259AA"/>
    <w:rsid w:val="0083749E"/>
    <w:rsid w:val="00837754"/>
    <w:rsid w:val="00857333"/>
    <w:rsid w:val="00894535"/>
    <w:rsid w:val="008A4763"/>
    <w:rsid w:val="008B73F1"/>
    <w:rsid w:val="008C6348"/>
    <w:rsid w:val="008D1EEF"/>
    <w:rsid w:val="008E2A68"/>
    <w:rsid w:val="008E3CFA"/>
    <w:rsid w:val="008E5D66"/>
    <w:rsid w:val="008E7392"/>
    <w:rsid w:val="008F136C"/>
    <w:rsid w:val="009040C6"/>
    <w:rsid w:val="009201C8"/>
    <w:rsid w:val="00934404"/>
    <w:rsid w:val="0094082D"/>
    <w:rsid w:val="0096346F"/>
    <w:rsid w:val="0097539D"/>
    <w:rsid w:val="00986EE4"/>
    <w:rsid w:val="00997AFE"/>
    <w:rsid w:val="009D29BE"/>
    <w:rsid w:val="00A06441"/>
    <w:rsid w:val="00A15D45"/>
    <w:rsid w:val="00A22F50"/>
    <w:rsid w:val="00A4549E"/>
    <w:rsid w:val="00A47C29"/>
    <w:rsid w:val="00A56280"/>
    <w:rsid w:val="00A56769"/>
    <w:rsid w:val="00A80ACE"/>
    <w:rsid w:val="00A80B2A"/>
    <w:rsid w:val="00A9774B"/>
    <w:rsid w:val="00AB048B"/>
    <w:rsid w:val="00AB5CC4"/>
    <w:rsid w:val="00AB7083"/>
    <w:rsid w:val="00AC3CD6"/>
    <w:rsid w:val="00AC5035"/>
    <w:rsid w:val="00AD357A"/>
    <w:rsid w:val="00AD4DD6"/>
    <w:rsid w:val="00AE2F7C"/>
    <w:rsid w:val="00AF7295"/>
    <w:rsid w:val="00B20448"/>
    <w:rsid w:val="00B2167C"/>
    <w:rsid w:val="00B26BAA"/>
    <w:rsid w:val="00B36E3B"/>
    <w:rsid w:val="00B37566"/>
    <w:rsid w:val="00B42DE9"/>
    <w:rsid w:val="00B602A7"/>
    <w:rsid w:val="00B602DB"/>
    <w:rsid w:val="00B62574"/>
    <w:rsid w:val="00B63C6E"/>
    <w:rsid w:val="00B67960"/>
    <w:rsid w:val="00B73294"/>
    <w:rsid w:val="00BA53A6"/>
    <w:rsid w:val="00BE0039"/>
    <w:rsid w:val="00BE200D"/>
    <w:rsid w:val="00BE2FCC"/>
    <w:rsid w:val="00BE6B8C"/>
    <w:rsid w:val="00C04A4C"/>
    <w:rsid w:val="00C05E03"/>
    <w:rsid w:val="00C17676"/>
    <w:rsid w:val="00C2011F"/>
    <w:rsid w:val="00C30553"/>
    <w:rsid w:val="00C4176B"/>
    <w:rsid w:val="00C47379"/>
    <w:rsid w:val="00C60074"/>
    <w:rsid w:val="00C605F9"/>
    <w:rsid w:val="00C67C5D"/>
    <w:rsid w:val="00C7370A"/>
    <w:rsid w:val="00C9344D"/>
    <w:rsid w:val="00CA1648"/>
    <w:rsid w:val="00CA2349"/>
    <w:rsid w:val="00CA43A4"/>
    <w:rsid w:val="00CB0756"/>
    <w:rsid w:val="00CD10D3"/>
    <w:rsid w:val="00CE28B2"/>
    <w:rsid w:val="00D042CA"/>
    <w:rsid w:val="00D14C84"/>
    <w:rsid w:val="00D3011A"/>
    <w:rsid w:val="00D324D7"/>
    <w:rsid w:val="00D420C2"/>
    <w:rsid w:val="00D43AE8"/>
    <w:rsid w:val="00D46717"/>
    <w:rsid w:val="00D52A56"/>
    <w:rsid w:val="00D56F13"/>
    <w:rsid w:val="00D7503A"/>
    <w:rsid w:val="00D809C4"/>
    <w:rsid w:val="00DB2AE2"/>
    <w:rsid w:val="00DB34A2"/>
    <w:rsid w:val="00DB7257"/>
    <w:rsid w:val="00DE7A10"/>
    <w:rsid w:val="00DF21C6"/>
    <w:rsid w:val="00E16178"/>
    <w:rsid w:val="00E204DE"/>
    <w:rsid w:val="00E323C4"/>
    <w:rsid w:val="00E356E3"/>
    <w:rsid w:val="00E45F9A"/>
    <w:rsid w:val="00E644B9"/>
    <w:rsid w:val="00E82C49"/>
    <w:rsid w:val="00E83174"/>
    <w:rsid w:val="00E833CD"/>
    <w:rsid w:val="00E917FB"/>
    <w:rsid w:val="00EA3209"/>
    <w:rsid w:val="00EA648A"/>
    <w:rsid w:val="00EC0ECF"/>
    <w:rsid w:val="00EC297E"/>
    <w:rsid w:val="00EC3DB5"/>
    <w:rsid w:val="00EE1204"/>
    <w:rsid w:val="00EE68FF"/>
    <w:rsid w:val="00F15134"/>
    <w:rsid w:val="00F23C22"/>
    <w:rsid w:val="00F250C9"/>
    <w:rsid w:val="00F25396"/>
    <w:rsid w:val="00F3585A"/>
    <w:rsid w:val="00F47665"/>
    <w:rsid w:val="00F55FA9"/>
    <w:rsid w:val="00F65CB7"/>
    <w:rsid w:val="00F838D2"/>
    <w:rsid w:val="00F83B72"/>
    <w:rsid w:val="00F95C9A"/>
    <w:rsid w:val="00FA3082"/>
    <w:rsid w:val="00FA6097"/>
    <w:rsid w:val="00FC2411"/>
    <w:rsid w:val="00FC5960"/>
    <w:rsid w:val="00FF2A5C"/>
    <w:rsid w:val="1B7FCF9F"/>
    <w:rsid w:val="1DFF7ACD"/>
    <w:rsid w:val="1FBCDC52"/>
    <w:rsid w:val="1FFFD4F1"/>
    <w:rsid w:val="218B56C6"/>
    <w:rsid w:val="295DCADE"/>
    <w:rsid w:val="29E60861"/>
    <w:rsid w:val="2B3782DD"/>
    <w:rsid w:val="39F308BF"/>
    <w:rsid w:val="39FFE288"/>
    <w:rsid w:val="3BA7C6CC"/>
    <w:rsid w:val="3DFF4BCB"/>
    <w:rsid w:val="3E7A09E9"/>
    <w:rsid w:val="3EBB4336"/>
    <w:rsid w:val="3FFF447A"/>
    <w:rsid w:val="43D2502F"/>
    <w:rsid w:val="43D9DE39"/>
    <w:rsid w:val="44BA6FA9"/>
    <w:rsid w:val="4B7F2E86"/>
    <w:rsid w:val="4D4A10C1"/>
    <w:rsid w:val="54FFE066"/>
    <w:rsid w:val="59F368AC"/>
    <w:rsid w:val="5A6EB72B"/>
    <w:rsid w:val="5DFB007D"/>
    <w:rsid w:val="5DFC6736"/>
    <w:rsid w:val="5F777A8F"/>
    <w:rsid w:val="5F7FAAD9"/>
    <w:rsid w:val="5FDFF35C"/>
    <w:rsid w:val="5FF7D74A"/>
    <w:rsid w:val="64B6350A"/>
    <w:rsid w:val="66505C9F"/>
    <w:rsid w:val="677BE65C"/>
    <w:rsid w:val="6C9077A0"/>
    <w:rsid w:val="6CEE406C"/>
    <w:rsid w:val="6DEB9086"/>
    <w:rsid w:val="6EB9D984"/>
    <w:rsid w:val="6FBDE7CB"/>
    <w:rsid w:val="737B15EA"/>
    <w:rsid w:val="737F3FB8"/>
    <w:rsid w:val="738793C8"/>
    <w:rsid w:val="73FCB82C"/>
    <w:rsid w:val="75F71329"/>
    <w:rsid w:val="763FFC5E"/>
    <w:rsid w:val="776F8D9C"/>
    <w:rsid w:val="77F28124"/>
    <w:rsid w:val="78F7BC20"/>
    <w:rsid w:val="7ABD9A1B"/>
    <w:rsid w:val="7BF52FCE"/>
    <w:rsid w:val="7BFFA32E"/>
    <w:rsid w:val="7BFFEF48"/>
    <w:rsid w:val="7C7F069B"/>
    <w:rsid w:val="7CF3A524"/>
    <w:rsid w:val="7EBF3A1D"/>
    <w:rsid w:val="7EEE8E01"/>
    <w:rsid w:val="7EFA6545"/>
    <w:rsid w:val="7F5474EC"/>
    <w:rsid w:val="7F6F4E18"/>
    <w:rsid w:val="7FBF8054"/>
    <w:rsid w:val="7FD7A920"/>
    <w:rsid w:val="7FDD9C49"/>
    <w:rsid w:val="7FF5A3F6"/>
    <w:rsid w:val="7FFF6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DF85"/>
  <w15:docId w15:val="{E6494610-E8F1-401A-A2A5-8FEC0878E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仿宋_GB2312" w:eastAsia="仿宋_GB2312"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adjustRightInd w:val="0"/>
      <w:snapToGrid w:val="0"/>
      <w:spacing w:line="300" w:lineRule="auto"/>
      <w:ind w:firstLine="618"/>
      <w:jc w:val="both"/>
    </w:pPr>
    <w:rPr>
      <w:rFonts w:ascii="Times New Roman"/>
      <w:kern w:val="2"/>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ind w:left="0" w:firstLine="420"/>
    </w:pPr>
    <w:rPr>
      <w:rFonts w:ascii="仿宋_GB2312" w:cs="仿宋_GB2312"/>
      <w:sz w:val="32"/>
      <w:szCs w:val="32"/>
    </w:rPr>
  </w:style>
  <w:style w:type="paragraph" w:styleId="a3">
    <w:name w:val="Body Text Indent"/>
    <w:basedOn w:val="a"/>
    <w:next w:val="a"/>
    <w:uiPriority w:val="99"/>
    <w:qFormat/>
    <w:pPr>
      <w:spacing w:after="120"/>
      <w:ind w:left="420"/>
    </w:pPr>
  </w:style>
  <w:style w:type="paragraph" w:styleId="a4">
    <w:name w:val="table of authorities"/>
    <w:basedOn w:val="a"/>
    <w:next w:val="a"/>
    <w:uiPriority w:val="99"/>
    <w:unhideWhenUsed/>
    <w:qFormat/>
    <w:pPr>
      <w:ind w:leftChars="200" w:left="420"/>
    </w:pPr>
  </w:style>
  <w:style w:type="paragraph" w:styleId="a5">
    <w:name w:val="annotation text"/>
    <w:basedOn w:val="a"/>
    <w:uiPriority w:val="99"/>
    <w:unhideWhenUsed/>
    <w:qFormat/>
    <w:pPr>
      <w:jc w:val="left"/>
    </w:pPr>
  </w:style>
  <w:style w:type="paragraph" w:styleId="a6">
    <w:name w:val="Body Text"/>
    <w:basedOn w:val="a"/>
    <w:link w:val="a7"/>
    <w:uiPriority w:val="99"/>
    <w:unhideWhenUsed/>
    <w:qFormat/>
    <w:pPr>
      <w:spacing w:after="120"/>
    </w:pPr>
  </w:style>
  <w:style w:type="paragraph" w:styleId="a8">
    <w:name w:val="Date"/>
    <w:basedOn w:val="a"/>
    <w:next w:val="a"/>
    <w:link w:val="a9"/>
    <w:uiPriority w:val="99"/>
    <w:unhideWhenUsed/>
    <w:qFormat/>
    <w:pPr>
      <w:ind w:leftChars="2500" w:left="100"/>
    </w:pPr>
  </w:style>
  <w:style w:type="paragraph" w:styleId="aa">
    <w:name w:val="Balloon Text"/>
    <w:basedOn w:val="a"/>
    <w:link w:val="ab"/>
    <w:uiPriority w:val="99"/>
    <w:semiHidden/>
    <w:unhideWhenUsed/>
    <w:qFormat/>
    <w:pPr>
      <w:spacing w:line="240" w:lineRule="auto"/>
    </w:pPr>
    <w:rPr>
      <w:sz w:val="18"/>
      <w:szCs w:val="18"/>
    </w:rPr>
  </w:style>
  <w:style w:type="paragraph" w:styleId="ac">
    <w:name w:val="footer"/>
    <w:basedOn w:val="a"/>
    <w:link w:val="ad"/>
    <w:uiPriority w:val="99"/>
    <w:unhideWhenUsed/>
    <w:qFormat/>
    <w:pPr>
      <w:tabs>
        <w:tab w:val="center" w:pos="4153"/>
        <w:tab w:val="right" w:pos="8306"/>
      </w:tabs>
      <w:spacing w:line="240" w:lineRule="auto"/>
      <w:jc w:val="left"/>
    </w:pPr>
    <w:rPr>
      <w:sz w:val="18"/>
      <w:szCs w:val="18"/>
    </w:rPr>
  </w:style>
  <w:style w:type="paragraph" w:styleId="ae">
    <w:name w:val="header"/>
    <w:basedOn w:val="a"/>
    <w:link w:val="af"/>
    <w:uiPriority w:val="99"/>
    <w:unhideWhenUsed/>
    <w:qFormat/>
    <w:pPr>
      <w:pBdr>
        <w:bottom w:val="single" w:sz="6" w:space="1" w:color="auto"/>
      </w:pBdr>
      <w:tabs>
        <w:tab w:val="center" w:pos="4153"/>
        <w:tab w:val="right" w:pos="8306"/>
      </w:tabs>
      <w:spacing w:line="240" w:lineRule="auto"/>
      <w:jc w:val="center"/>
    </w:pPr>
    <w:rPr>
      <w:sz w:val="18"/>
      <w:szCs w:val="18"/>
    </w:rPr>
  </w:style>
  <w:style w:type="paragraph" w:styleId="af0">
    <w:name w:val="Normal (Web)"/>
    <w:basedOn w:val="a"/>
    <w:qFormat/>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table" w:styleId="af1">
    <w:name w:val="Table Grid"/>
    <w:basedOn w:val="a1"/>
    <w:uiPriority w:val="39"/>
    <w:qFormat/>
    <w:rPr>
      <w:rFonts w:ascii="Times New Roman"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qFormat/>
    <w:rPr>
      <w:color w:val="0000FF" w:themeColor="hyperlink"/>
      <w:u w:val="single"/>
    </w:rPr>
  </w:style>
  <w:style w:type="character" w:customStyle="1" w:styleId="ab">
    <w:name w:val="批注框文本 字符"/>
    <w:basedOn w:val="a0"/>
    <w:link w:val="aa"/>
    <w:uiPriority w:val="99"/>
    <w:semiHidden/>
    <w:qFormat/>
    <w:rPr>
      <w:rFonts w:ascii="Times New Roman"/>
      <w:sz w:val="18"/>
      <w:szCs w:val="18"/>
    </w:rPr>
  </w:style>
  <w:style w:type="character" w:customStyle="1" w:styleId="af">
    <w:name w:val="页眉 字符"/>
    <w:basedOn w:val="a0"/>
    <w:link w:val="ae"/>
    <w:uiPriority w:val="99"/>
    <w:qFormat/>
    <w:rPr>
      <w:rFonts w:ascii="Times New Roman"/>
      <w:sz w:val="18"/>
      <w:szCs w:val="18"/>
    </w:rPr>
  </w:style>
  <w:style w:type="character" w:customStyle="1" w:styleId="ad">
    <w:name w:val="页脚 字符"/>
    <w:basedOn w:val="a0"/>
    <w:link w:val="ac"/>
    <w:uiPriority w:val="99"/>
    <w:qFormat/>
    <w:rPr>
      <w:rFonts w:ascii="Times New Roman"/>
      <w:sz w:val="18"/>
      <w:szCs w:val="18"/>
    </w:rPr>
  </w:style>
  <w:style w:type="paragraph" w:styleId="af3">
    <w:name w:val="List Paragraph"/>
    <w:basedOn w:val="a"/>
    <w:uiPriority w:val="34"/>
    <w:qFormat/>
    <w:pPr>
      <w:ind w:firstLineChars="200" w:firstLine="420"/>
    </w:pPr>
  </w:style>
  <w:style w:type="character" w:customStyle="1" w:styleId="a9">
    <w:name w:val="日期 字符"/>
    <w:basedOn w:val="a0"/>
    <w:link w:val="a8"/>
    <w:uiPriority w:val="99"/>
    <w:semiHidden/>
    <w:qFormat/>
    <w:rPr>
      <w:rFonts w:ascii="Times New Roman"/>
      <w:sz w:val="30"/>
      <w:szCs w:val="20"/>
    </w:rPr>
  </w:style>
  <w:style w:type="character" w:customStyle="1" w:styleId="a7">
    <w:name w:val="正文文本 字符"/>
    <w:basedOn w:val="a0"/>
    <w:link w:val="a6"/>
    <w:uiPriority w:val="99"/>
    <w:semiHidden/>
    <w:qFormat/>
    <w:rPr>
      <w:rFonts w:ascii="Times New Roman"/>
      <w:sz w:val="30"/>
      <w:szCs w:val="20"/>
    </w:rPr>
  </w:style>
  <w:style w:type="paragraph" w:customStyle="1" w:styleId="Af4">
    <w:name w:val="正文 A"/>
    <w:qFormat/>
    <w:pPr>
      <w:widowControl w:val="0"/>
      <w:spacing w:line="300" w:lineRule="auto"/>
      <w:ind w:firstLine="618"/>
      <w:jc w:val="both"/>
    </w:pPr>
    <w:rPr>
      <w:rFonts w:ascii="Times New Roman" w:eastAsia="Arial Unicode MS" w:cs="Arial Unicode MS"/>
      <w:color w:val="000000"/>
      <w:kern w:val="2"/>
      <w:sz w:val="30"/>
      <w:szCs w:val="30"/>
      <w:u w:color="000000"/>
    </w:rPr>
  </w:style>
  <w:style w:type="table" w:customStyle="1" w:styleId="TableNormal">
    <w:name w:val="Table Normal"/>
    <w:qFormat/>
    <w:rPr>
      <w:rFonts w:ascii="Times New Roman" w:eastAsia="宋体"/>
    </w:rPr>
    <w:tblPr>
      <w:tblCellMar>
        <w:top w:w="0" w:type="dxa"/>
        <w:left w:w="0" w:type="dxa"/>
        <w:bottom w:w="0" w:type="dxa"/>
        <w:right w:w="0" w:type="dxa"/>
      </w:tblCellMar>
    </w:tblPr>
  </w:style>
  <w:style w:type="table" w:customStyle="1" w:styleId="TableNormal1">
    <w:name w:val="Table Normal1"/>
    <w:qFormat/>
    <w:rPr>
      <w:rFonts w:ascii="Times New Roman" w:eastAsia="宋体"/>
    </w:rPr>
    <w:tblPr>
      <w:tblCellMar>
        <w:top w:w="0" w:type="dxa"/>
        <w:left w:w="0" w:type="dxa"/>
        <w:bottom w:w="0" w:type="dxa"/>
        <w:right w:w="0" w:type="dxa"/>
      </w:tblCellMar>
    </w:tblPr>
  </w:style>
  <w:style w:type="paragraph" w:customStyle="1" w:styleId="1">
    <w:name w:val="样式1"/>
    <w:basedOn w:val="a"/>
    <w:qFormat/>
    <w:pPr>
      <w:spacing w:line="240" w:lineRule="auto"/>
    </w:pPr>
    <w:rPr>
      <w:rFonts w:ascii="仿宋_GB2312"/>
      <w:sz w:val="28"/>
      <w:szCs w:val="24"/>
    </w:rPr>
  </w:style>
  <w:style w:type="paragraph" w:customStyle="1" w:styleId="p0">
    <w:name w:val="p0"/>
    <w:basedOn w:val="a"/>
    <w:qFormat/>
    <w:pPr>
      <w:widowControl/>
    </w:pPr>
    <w:rPr>
      <w:rFonts w:ascii="Calibri" w:eastAsia="宋体" w:hAnsi="Calibri" w:cs="宋体"/>
      <w:kern w:val="0"/>
      <w:szCs w:val="21"/>
    </w:rPr>
  </w:style>
  <w:style w:type="table" w:customStyle="1" w:styleId="10">
    <w:name w:val="网格型1"/>
    <w:basedOn w:val="a1"/>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
    <w:name w:val="2级标题"/>
    <w:basedOn w:val="a"/>
    <w:qFormat/>
    <w:pPr>
      <w:spacing w:line="600" w:lineRule="exact"/>
      <w:ind w:firstLineChars="200" w:firstLine="200"/>
      <w:outlineLvl w:val="1"/>
    </w:pPr>
    <w:rPr>
      <w:rFonts w:eastAsia="楷体" w:cs="Calibri"/>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1458</TotalTime>
  <Pages>1</Pages>
  <Words>392</Words>
  <Characters>2236</Characters>
  <Application>Microsoft Office Word</Application>
  <DocSecurity>0</DocSecurity>
  <Lines>18</Lines>
  <Paragraphs>5</Paragraphs>
  <ScaleCrop>false</ScaleCrop>
  <Company>您的公司名</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Nelly Z</cp:lastModifiedBy>
  <cp:revision>7</cp:revision>
  <cp:lastPrinted>2023-12-05T14:29:00Z</cp:lastPrinted>
  <dcterms:created xsi:type="dcterms:W3CDTF">2021-02-01T00:16:00Z</dcterms:created>
  <dcterms:modified xsi:type="dcterms:W3CDTF">2023-12-06T02:45:00Z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