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sz w:val="32"/>
          <w:szCs w:val="32"/>
        </w:rPr>
      </w:pPr>
      <w:r>
        <w:rPr>
          <w:rFonts w:hint="eastAsia" w:ascii="黑体" w:hAnsi="黑体" w:eastAsia="黑体"/>
          <w:sz w:val="32"/>
          <w:szCs w:val="32"/>
        </w:rPr>
        <w:t>附件2</w:t>
      </w:r>
    </w:p>
    <w:p>
      <w:pPr>
        <w:spacing w:line="560" w:lineRule="exact"/>
        <w:jc w:val="center"/>
        <w:rPr>
          <w:rFonts w:ascii="方正小标宋简体" w:hAnsi="华文中宋" w:eastAsia="方正小标宋简体"/>
          <w:sz w:val="40"/>
          <w:szCs w:val="40"/>
        </w:rPr>
      </w:pPr>
    </w:p>
    <w:p>
      <w:pPr>
        <w:pStyle w:val="18"/>
      </w:pPr>
      <w:r>
        <w:rPr>
          <w:rFonts w:hint="eastAsia"/>
        </w:rPr>
        <w:t>第四次全国中药资源普查资金</w:t>
      </w:r>
    </w:p>
    <w:p>
      <w:pPr>
        <w:pStyle w:val="18"/>
      </w:pPr>
      <w:r>
        <w:rPr>
          <w:rFonts w:hint="eastAsia"/>
        </w:rPr>
        <w:t>管理暂行办法</w:t>
      </w:r>
    </w:p>
    <w:p>
      <w:pPr>
        <w:spacing w:line="580" w:lineRule="exact"/>
        <w:jc w:val="center"/>
        <w:rPr>
          <w:rFonts w:ascii="方正小标宋简体" w:hAnsi="华文中宋" w:eastAsia="方正小标宋简体"/>
          <w:sz w:val="40"/>
          <w:szCs w:val="40"/>
        </w:rPr>
      </w:pPr>
    </w:p>
    <w:p>
      <w:pPr>
        <w:widowControl/>
        <w:numPr>
          <w:ilvl w:val="0"/>
          <w:numId w:val="1"/>
        </w:numPr>
        <w:spacing w:line="560" w:lineRule="exact"/>
        <w:ind w:left="0" w:firstLine="0"/>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总  则</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hAnsi="仿宋_GB2312" w:eastAsia="仿宋_GB2312"/>
          <w:color w:val="000000"/>
          <w:sz w:val="32"/>
          <w:szCs w:val="32"/>
        </w:rPr>
        <w:t>为规范和加强第四次全国中药资源普查（以下简称“普查”）资金（以下简称“资金”）</w:t>
      </w:r>
      <w:r>
        <w:rPr>
          <w:rFonts w:hint="eastAsia" w:ascii="仿宋_GB2312" w:eastAsia="仿宋_GB2312"/>
          <w:color w:val="000000"/>
          <w:sz w:val="32"/>
          <w:szCs w:val="32"/>
        </w:rPr>
        <w:t>管理，提高资金使用的安全性和有效性，根据有关法律法规和财政部专项资金管理规定，制定本办法。</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hAnsi="仿宋_GB2312" w:eastAsia="仿宋_GB2312"/>
          <w:color w:val="000000"/>
          <w:sz w:val="32"/>
          <w:szCs w:val="32"/>
        </w:rPr>
        <w:t>本办法所称资金，是指中央财政通过中央本级部门预算、中央对地方转移支付补助资金安排，用于支持中药资源调查、与中药资源相关传统知识调查、中药资源动态监测信息和技术服务体系（以下简称“监测体系”）建设等工作。</w:t>
      </w:r>
      <w:r>
        <w:rPr>
          <w:rFonts w:hint="eastAsia" w:ascii="仿宋_GB2312" w:eastAsia="仿宋_GB2312"/>
          <w:color w:val="000000"/>
          <w:sz w:val="32"/>
          <w:szCs w:val="32"/>
        </w:rPr>
        <w:t>资金按照中药资源</w:t>
      </w:r>
      <w:r>
        <w:rPr>
          <w:rFonts w:hint="eastAsia" w:ascii="仿宋_GB2312" w:hAnsi="仿宋_GB2312" w:eastAsia="仿宋_GB2312"/>
          <w:color w:val="000000"/>
          <w:sz w:val="32"/>
          <w:szCs w:val="32"/>
        </w:rPr>
        <w:t>调查区域数量、中药资源种类、监测体系建设规模、</w:t>
      </w:r>
      <w:r>
        <w:rPr>
          <w:rFonts w:hint="eastAsia" w:ascii="仿宋_GB2312" w:eastAsia="仿宋_GB2312"/>
          <w:color w:val="000000"/>
          <w:sz w:val="32"/>
          <w:szCs w:val="32"/>
        </w:rPr>
        <w:t>资金额度</w:t>
      </w:r>
      <w:r>
        <w:rPr>
          <w:rFonts w:hint="eastAsia" w:ascii="仿宋_GB2312" w:hAnsi="仿宋_GB2312" w:eastAsia="仿宋_GB2312"/>
          <w:color w:val="000000"/>
          <w:sz w:val="32"/>
          <w:szCs w:val="32"/>
        </w:rPr>
        <w:t>及相关工作评价结果等因素安排。</w:t>
      </w:r>
    </w:p>
    <w:p>
      <w:pPr>
        <w:numPr>
          <w:ilvl w:val="0"/>
          <w:numId w:val="2"/>
        </w:numPr>
        <w:adjustRightInd w:val="0"/>
        <w:snapToGrid w:val="0"/>
        <w:spacing w:line="560" w:lineRule="exact"/>
        <w:ind w:left="0" w:firstLine="640"/>
        <w:rPr>
          <w:rFonts w:ascii="仿宋_GB2312" w:eastAsia="仿宋_GB2312"/>
          <w:color w:val="000000" w:themeColor="text1"/>
          <w:sz w:val="32"/>
          <w:szCs w:val="32"/>
        </w:rPr>
      </w:pPr>
      <w:r>
        <w:rPr>
          <w:rFonts w:hint="eastAsia" w:ascii="仿宋_GB2312" w:hAnsi="仿宋_GB2312" w:eastAsia="仿宋_GB2312"/>
          <w:color w:val="000000" w:themeColor="text1"/>
          <w:sz w:val="32"/>
          <w:szCs w:val="32"/>
        </w:rPr>
        <w:t>普查工作任务</w:t>
      </w:r>
      <w:r>
        <w:rPr>
          <w:rFonts w:hint="eastAsia" w:ascii="仿宋_GB2312" w:eastAsia="仿宋_GB2312"/>
          <w:color w:val="000000" w:themeColor="text1"/>
          <w:sz w:val="32"/>
          <w:szCs w:val="32"/>
        </w:rPr>
        <w:t>审核安排和资金管理由</w:t>
      </w:r>
      <w:r>
        <w:rPr>
          <w:rFonts w:hint="eastAsia" w:ascii="仿宋_GB2312" w:hAnsi="仿宋_GB2312" w:eastAsia="仿宋_GB2312"/>
          <w:color w:val="000000" w:themeColor="text1"/>
          <w:sz w:val="32"/>
          <w:szCs w:val="32"/>
        </w:rPr>
        <w:t>国家中医药管理局</w:t>
      </w:r>
      <w:r>
        <w:rPr>
          <w:rFonts w:hint="eastAsia" w:ascii="仿宋_GB2312" w:eastAsia="仿宋_GB2312"/>
          <w:color w:val="000000" w:themeColor="text1"/>
          <w:sz w:val="32"/>
          <w:szCs w:val="32"/>
        </w:rPr>
        <w:t>负责。</w:t>
      </w:r>
    </w:p>
    <w:p>
      <w:pPr>
        <w:numPr>
          <w:ilvl w:val="0"/>
          <w:numId w:val="2"/>
        </w:numPr>
        <w:adjustRightInd w:val="0"/>
        <w:snapToGrid w:val="0"/>
        <w:spacing w:line="560" w:lineRule="exact"/>
        <w:ind w:left="0" w:firstLine="640"/>
        <w:rPr>
          <w:rFonts w:ascii="仿宋_GB2312" w:eastAsia="仿宋_GB2312"/>
          <w:color w:val="000000" w:themeColor="text1"/>
          <w:sz w:val="32"/>
          <w:szCs w:val="32"/>
        </w:rPr>
      </w:pPr>
      <w:r>
        <w:rPr>
          <w:rFonts w:hint="eastAsia" w:ascii="仿宋_GB2312" w:eastAsia="仿宋_GB2312"/>
          <w:color w:val="000000" w:themeColor="text1"/>
          <w:sz w:val="32"/>
          <w:szCs w:val="32"/>
        </w:rPr>
        <w:t>省级中医药管理部门负责本区域内的普查业务及资金管理，建立健全绩效评价机制，并对普查工作任务及资金使用开展绩效评价。</w:t>
      </w:r>
    </w:p>
    <w:p>
      <w:pPr>
        <w:adjustRightInd w:val="0"/>
        <w:snapToGrid w:val="0"/>
        <w:spacing w:line="560" w:lineRule="exact"/>
        <w:rPr>
          <w:rFonts w:ascii="仿宋_GB2312" w:eastAsia="仿宋_GB2312"/>
          <w:color w:val="000000" w:themeColor="text1"/>
          <w:sz w:val="32"/>
          <w:szCs w:val="32"/>
        </w:rPr>
      </w:pPr>
    </w:p>
    <w:p>
      <w:pPr>
        <w:numPr>
          <w:ilvl w:val="0"/>
          <w:numId w:val="1"/>
        </w:numPr>
        <w:adjustRightInd w:val="0"/>
        <w:snapToGrid w:val="0"/>
        <w:spacing w:line="560" w:lineRule="exact"/>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管理原则</w:t>
      </w:r>
    </w:p>
    <w:p>
      <w:pPr>
        <w:numPr>
          <w:ilvl w:val="0"/>
          <w:numId w:val="2"/>
        </w:numPr>
        <w:tabs>
          <w:tab w:val="left" w:pos="674"/>
        </w:tabs>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资金管理遵循以下原则：</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（一）合理规划，科学论证。按照《第四次全国中药资源普查工作方案》及相关要求，合理确定资金使用方向，对其合理性、可行性等进行科学论证。</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（二）统筹分配，保障重点。统筹考虑普查工作实际需要，合理安排资金预算，</w:t>
      </w:r>
      <w:r>
        <w:rPr>
          <w:rFonts w:hint="eastAsia" w:ascii="仿宋_GB2312" w:eastAsia="仿宋_GB2312"/>
          <w:sz w:val="32"/>
          <w:szCs w:val="32"/>
        </w:rPr>
        <w:t>结合财政部预算评审中心的评审结果统筹使用项目资金</w:t>
      </w:r>
      <w:r>
        <w:rPr>
          <w:rFonts w:hint="eastAsia" w:ascii="仿宋_GB2312" w:hAnsi="仿宋_GB2312" w:eastAsia="仿宋_GB2312"/>
          <w:color w:val="000000"/>
          <w:sz w:val="32"/>
          <w:szCs w:val="32"/>
        </w:rPr>
        <w:t>。</w:t>
      </w:r>
    </w:p>
    <w:p>
      <w:pPr>
        <w:adjustRightInd w:val="0"/>
        <w:snapToGrid w:val="0"/>
        <w:spacing w:line="560" w:lineRule="exact"/>
        <w:ind w:firstLine="640" w:firstLineChars="200"/>
        <w:rPr>
          <w:rFonts w:ascii="仿宋_GB2312" w:eastAsia="仿宋_GB2312"/>
          <w:color w:val="000000"/>
          <w:sz w:val="32"/>
          <w:szCs w:val="32"/>
        </w:rPr>
      </w:pPr>
      <w:r>
        <w:rPr>
          <w:rFonts w:hint="eastAsia" w:ascii="仿宋_GB2312" w:hAnsi="仿宋_GB2312" w:eastAsia="仿宋_GB2312"/>
          <w:color w:val="000000"/>
          <w:sz w:val="32"/>
          <w:szCs w:val="32"/>
        </w:rPr>
        <w:t>（三）</w:t>
      </w:r>
      <w:r>
        <w:rPr>
          <w:rFonts w:hint="eastAsia" w:ascii="仿宋_GB2312" w:eastAsia="仿宋_GB2312"/>
          <w:color w:val="000000"/>
          <w:sz w:val="32"/>
          <w:szCs w:val="32"/>
        </w:rPr>
        <w:t>单独核算，专款专用。明确相关主体的权利责任，纳入承担单位预算统一管理，单独核算，确保专款专用。预算一般不作调整，确有必要调整时，按预算调整规定程序报批。</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（四）绩效评价，量效挂钩。强化对资金使用情况的绩效管理，建立绩效评价情况与资金安排挂钩机制，建立面向结果的追踪问责机制，提高资金使用效益。</w:t>
      </w:r>
    </w:p>
    <w:p>
      <w:pPr>
        <w:adjustRightInd w:val="0"/>
        <w:snapToGrid w:val="0"/>
        <w:spacing w:line="560" w:lineRule="exact"/>
        <w:ind w:firstLine="640" w:firstLineChars="200"/>
        <w:rPr>
          <w:rFonts w:ascii="仿宋_GB2312" w:hAnsi="仿宋_GB2312" w:eastAsia="仿宋_GB2312"/>
          <w:color w:val="000000"/>
          <w:sz w:val="32"/>
          <w:szCs w:val="32"/>
        </w:rPr>
      </w:pPr>
    </w:p>
    <w:p>
      <w:pPr>
        <w:numPr>
          <w:ilvl w:val="0"/>
          <w:numId w:val="1"/>
        </w:numPr>
        <w:adjustRightInd w:val="0"/>
        <w:snapToGrid w:val="0"/>
        <w:spacing w:line="560" w:lineRule="exact"/>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预算与资金管理</w:t>
      </w:r>
    </w:p>
    <w:p>
      <w:pPr>
        <w:numPr>
          <w:ilvl w:val="0"/>
          <w:numId w:val="2"/>
        </w:numPr>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预算申报审核程序：</w:t>
      </w:r>
    </w:p>
    <w:p>
      <w:pPr>
        <w:adjustRightInd w:val="0"/>
        <w:snapToGrid w:val="0"/>
        <w:spacing w:line="560" w:lineRule="exact"/>
        <w:ind w:firstLine="707" w:firstLineChars="221"/>
        <w:rPr>
          <w:rFonts w:ascii="仿宋_GB2312" w:hAnsi="仿宋_GB2312" w:eastAsia="仿宋_GB2312"/>
          <w:color w:val="000000"/>
          <w:sz w:val="32"/>
          <w:szCs w:val="32"/>
        </w:rPr>
      </w:pPr>
      <w:r>
        <w:rPr>
          <w:rFonts w:hint="eastAsia" w:ascii="仿宋_GB2312" w:hAnsi="仿宋_GB2312" w:eastAsia="仿宋_GB2312"/>
          <w:color w:val="000000"/>
          <w:sz w:val="32"/>
          <w:szCs w:val="32"/>
        </w:rPr>
        <w:t>（一）国家中医药管理局按照普查工作的总体要求，制定各类任务的具体目标内容和技术要求。</w:t>
      </w:r>
    </w:p>
    <w:p>
      <w:pPr>
        <w:adjustRightInd w:val="0"/>
        <w:snapToGrid w:val="0"/>
        <w:spacing w:line="560" w:lineRule="exact"/>
        <w:ind w:firstLine="707" w:firstLineChars="221"/>
        <w:rPr>
          <w:rFonts w:ascii="仿宋_GB2312" w:hAnsi="仿宋_GB2312" w:eastAsia="仿宋_GB2312"/>
          <w:color w:val="000000"/>
          <w:sz w:val="32"/>
          <w:szCs w:val="32"/>
        </w:rPr>
      </w:pPr>
      <w:r>
        <w:rPr>
          <w:rFonts w:hint="eastAsia" w:ascii="仿宋_GB2312" w:hAnsi="仿宋_GB2312" w:eastAsia="仿宋_GB2312"/>
          <w:color w:val="000000"/>
          <w:sz w:val="32"/>
          <w:szCs w:val="32"/>
        </w:rPr>
        <w:t>（二）省级</w:t>
      </w:r>
      <w:r>
        <w:rPr>
          <w:rFonts w:hint="eastAsia" w:ascii="仿宋_GB2312" w:eastAsia="仿宋_GB2312"/>
          <w:color w:val="000000"/>
          <w:sz w:val="32"/>
          <w:szCs w:val="32"/>
        </w:rPr>
        <w:t>中医药管理部门按照普查任务要求和资金补助额度，遴选任务承担单位、编制相应的实施方案和资金使用计划，向国家中医药管理局申报；</w:t>
      </w:r>
    </w:p>
    <w:p>
      <w:pPr>
        <w:adjustRightInd w:val="0"/>
        <w:snapToGrid w:val="0"/>
        <w:spacing w:line="560" w:lineRule="exact"/>
        <w:ind w:firstLine="707" w:firstLineChars="221"/>
        <w:rPr>
          <w:rFonts w:ascii="仿宋_GB2312" w:hAnsi="仿宋_GB2312" w:eastAsia="仿宋_GB2312"/>
          <w:color w:val="000000"/>
          <w:sz w:val="32"/>
          <w:szCs w:val="32"/>
        </w:rPr>
      </w:pPr>
      <w:r>
        <w:rPr>
          <w:rFonts w:hint="eastAsia" w:ascii="仿宋_GB2312" w:hAnsi="仿宋_GB2312" w:eastAsia="仿宋_GB2312"/>
          <w:color w:val="000000"/>
          <w:sz w:val="32"/>
          <w:szCs w:val="32"/>
        </w:rPr>
        <w:t>（三）国家中医药管理局组织专家对省级</w:t>
      </w:r>
      <w:r>
        <w:rPr>
          <w:rFonts w:hint="eastAsia" w:ascii="仿宋_GB2312" w:eastAsia="仿宋_GB2312"/>
          <w:color w:val="000000"/>
          <w:sz w:val="32"/>
          <w:szCs w:val="32"/>
        </w:rPr>
        <w:t>中医药管理部门编制的实施方案和资金使用计划进行审核</w:t>
      </w:r>
      <w:r>
        <w:rPr>
          <w:rFonts w:hint="eastAsia" w:ascii="仿宋_GB2312" w:hAnsi="仿宋_GB2312" w:eastAsia="仿宋_GB2312"/>
          <w:color w:val="000000"/>
          <w:sz w:val="32"/>
          <w:szCs w:val="32"/>
        </w:rPr>
        <w:t>。</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eastAsia="仿宋_GB2312"/>
          <w:color w:val="000000"/>
          <w:sz w:val="32"/>
          <w:szCs w:val="32"/>
        </w:rPr>
        <w:t>根据政府收支分类科目及国家财经法规制度，结合普查任务的性质，资金使用范围如下：</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差旅费：普查任务中产生的外埠及市内交通费、住宿费、伙食补助费等。差旅费的开支标准参照《中央和国家机关差旅费管理办法》执行。</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劳务费：执行过程中支付给参与普查任务但没有工资性收入的相关人员（如在校研究生）和临时聘用人员等的劳务性费用，其开支标准参照当地相关技术从业人员平均工资水平，根据其承担的工作任务确定。</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咨询费：支付给临时聘请的咨询专家的费用，开支标准参照国家有关标准执行。</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 xml:space="preserve">培训费：根据普查具体实施要求开展相关培训学习、交流产生的费用，包括住宿费、伙食费、场地费、讲课费、培训资料费及其他费用。培训费的开支标准参照《中央和国家机关培训费管理办法》执行。 </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材料费：完成普查任务所需的数码相机、扫描仪、GPS等专用设备购置及各种原材料、辅助材料等费用。</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 xml:space="preserve">测试化验加工费：普查任务执行过程中委托第三方单位（包括任务承担单位内部独立核算单位）开展的检验、测试、化验及加工（包括数据加工、标本制作）等方面的费用。 </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燃料动力费：仪器设备以及其他专用装置运行时发生的水、电、气、燃料消耗费用；长期野外考察工作租赁交通工具产生的燃料费可在此科目中列支。</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出版/文献/信息传播/知识产权事务费：出版费、资料费、专用软件购置费、文献检索费、通信费、专利申请及其他知识产权事务等费用。</w:t>
      </w:r>
    </w:p>
    <w:p>
      <w:pPr>
        <w:numPr>
          <w:ilvl w:val="0"/>
          <w:numId w:val="3"/>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其他支出：在普查实施过程中确需产生的其他费用，须提供详细说明，并报国家中医药管理局审核同意后列支。</w:t>
      </w:r>
    </w:p>
    <w:p>
      <w:pPr>
        <w:numPr>
          <w:ilvl w:val="0"/>
          <w:numId w:val="2"/>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普查任务承担单位参照上述资金支出范围制定详细的资金使用计划，并严格执行。资金不得用于或变相用于人员经费或公用经费。资金支付按照国库集中支付制度有关规定执行。资金使用过程中，涉及政府采购的，应当按照政府采购有关法律法规及制度执行。使用项目资金购置的设施设备等资产，应严格按照国有资产有关规定管理，避免国有资产流失。</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eastAsia="仿宋_GB2312"/>
          <w:color w:val="000000"/>
          <w:sz w:val="32"/>
          <w:szCs w:val="32"/>
        </w:rPr>
        <w:t>资金结算一般以银行电汇、转账支票、公务卡方式支付。确因特殊原因（如偏僻地区）无法通过以上方式结算的合理支出可以以现金结算，但应严格控制比例并作说明。</w:t>
      </w:r>
    </w:p>
    <w:p>
      <w:pPr>
        <w:numPr>
          <w:ilvl w:val="0"/>
          <w:numId w:val="2"/>
        </w:numPr>
        <w:adjustRightInd w:val="0"/>
        <w:snapToGrid w:val="0"/>
        <w:spacing w:line="560" w:lineRule="exact"/>
        <w:ind w:left="0" w:firstLine="709"/>
        <w:rPr>
          <w:rFonts w:ascii="仿宋_GB2312" w:eastAsia="仿宋_GB2312"/>
          <w:color w:val="000000"/>
          <w:sz w:val="32"/>
          <w:szCs w:val="32"/>
        </w:rPr>
      </w:pPr>
      <w:r>
        <w:rPr>
          <w:rFonts w:hint="eastAsia" w:ascii="仿宋_GB2312" w:eastAsia="仿宋_GB2312"/>
          <w:color w:val="000000"/>
          <w:sz w:val="32"/>
          <w:szCs w:val="32"/>
        </w:rPr>
        <w:t>普查任务承担单位收到资金后，要按预算和国库管理有关规定，建立健全内部管理机制，制定资金管理办法，加快预算执行。</w:t>
      </w:r>
    </w:p>
    <w:p>
      <w:pPr>
        <w:numPr>
          <w:ilvl w:val="0"/>
          <w:numId w:val="2"/>
        </w:numPr>
        <w:adjustRightInd w:val="0"/>
        <w:snapToGrid w:val="0"/>
        <w:spacing w:line="560" w:lineRule="exact"/>
        <w:ind w:left="0" w:firstLine="640"/>
        <w:jc w:val="left"/>
        <w:rPr>
          <w:rFonts w:ascii="仿宋_GB2312" w:hAnsi="仿宋_GB2312" w:eastAsia="仿宋_GB2312"/>
          <w:color w:val="000000"/>
          <w:sz w:val="32"/>
          <w:szCs w:val="32"/>
        </w:rPr>
      </w:pPr>
      <w:r>
        <w:rPr>
          <w:rFonts w:hint="eastAsia" w:ascii="仿宋_GB2312" w:hAnsi="仿宋_GB2312" w:eastAsia="仿宋_GB2312"/>
          <w:color w:val="000000"/>
          <w:sz w:val="32"/>
          <w:szCs w:val="32"/>
        </w:rPr>
        <w:t>资金管理的各方职责与权限：</w:t>
      </w:r>
    </w:p>
    <w:p>
      <w:pPr>
        <w:adjustRightInd w:val="0"/>
        <w:snapToGrid w:val="0"/>
        <w:spacing w:line="560" w:lineRule="exact"/>
        <w:ind w:firstLine="640"/>
        <w:rPr>
          <w:rFonts w:ascii="楷体_GB2312" w:eastAsia="楷体_GB2312"/>
          <w:b/>
          <w:color w:val="000000"/>
          <w:sz w:val="32"/>
          <w:szCs w:val="32"/>
        </w:rPr>
      </w:pPr>
      <w:r>
        <w:rPr>
          <w:rFonts w:hint="eastAsia" w:ascii="楷体_GB2312" w:eastAsia="楷体_GB2312"/>
          <w:b/>
          <w:color w:val="000000"/>
          <w:sz w:val="32"/>
          <w:szCs w:val="32"/>
        </w:rPr>
        <w:t>（一）国家中医药管理局</w:t>
      </w:r>
    </w:p>
    <w:p>
      <w:pPr>
        <w:adjustRightInd w:val="0"/>
        <w:snapToGrid w:val="0"/>
        <w:spacing w:line="560" w:lineRule="exact"/>
        <w:rPr>
          <w:rFonts w:ascii="仿宋_GB2312" w:hAnsi="仿宋_GB2312" w:eastAsia="仿宋_GB2312"/>
          <w:color w:val="000000"/>
          <w:sz w:val="32"/>
          <w:szCs w:val="32"/>
        </w:rPr>
      </w:pPr>
      <w:r>
        <w:rPr>
          <w:rFonts w:hint="eastAsia" w:ascii="仿宋_GB2312" w:eastAsia="仿宋_GB2312"/>
          <w:color w:val="000000"/>
          <w:sz w:val="32"/>
          <w:szCs w:val="32"/>
        </w:rPr>
        <w:t xml:space="preserve">     1.负责编制年度</w:t>
      </w:r>
      <w:r>
        <w:rPr>
          <w:rFonts w:hint="eastAsia" w:ascii="仿宋_GB2312" w:hAnsi="仿宋_GB2312" w:eastAsia="仿宋_GB2312"/>
          <w:color w:val="000000"/>
          <w:sz w:val="32"/>
          <w:szCs w:val="32"/>
        </w:rPr>
        <w:t>资金总预算；</w:t>
      </w:r>
    </w:p>
    <w:p>
      <w:pPr>
        <w:adjustRightInd w:val="0"/>
        <w:snapToGrid w:val="0"/>
        <w:spacing w:line="560" w:lineRule="exact"/>
        <w:rPr>
          <w:rFonts w:ascii="仿宋_GB2312" w:eastAsia="仿宋_GB2312"/>
          <w:color w:val="000000"/>
          <w:sz w:val="32"/>
          <w:szCs w:val="32"/>
        </w:rPr>
      </w:pPr>
      <w:r>
        <w:rPr>
          <w:rFonts w:hint="eastAsia" w:ascii="仿宋_GB2312" w:hAnsi="仿宋_GB2312" w:eastAsia="仿宋_GB2312"/>
          <w:color w:val="000000"/>
          <w:sz w:val="32"/>
          <w:szCs w:val="32"/>
        </w:rPr>
        <w:t xml:space="preserve">     2.审核各项普查任务承担单位的</w:t>
      </w:r>
      <w:r>
        <w:rPr>
          <w:rFonts w:hint="eastAsia" w:ascii="仿宋_GB2312" w:eastAsia="仿宋_GB2312"/>
          <w:color w:val="000000"/>
          <w:sz w:val="32"/>
          <w:szCs w:val="32"/>
        </w:rPr>
        <w:t>资金预算；</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 3.负责审核预算绩效目标；</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 4.负责管理资金，检查监督资金的管理和使用情况；</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 5.组织开展绩效考评和验收。</w:t>
      </w:r>
    </w:p>
    <w:p>
      <w:pPr>
        <w:adjustRightInd w:val="0"/>
        <w:snapToGrid w:val="0"/>
        <w:spacing w:line="560" w:lineRule="exact"/>
        <w:ind w:firstLine="640"/>
        <w:rPr>
          <w:rFonts w:ascii="楷体_GB2312" w:eastAsia="楷体_GB2312"/>
          <w:b/>
          <w:color w:val="000000"/>
          <w:sz w:val="32"/>
          <w:szCs w:val="32"/>
        </w:rPr>
      </w:pPr>
      <w:r>
        <w:rPr>
          <w:rFonts w:hint="eastAsia" w:ascii="楷体_GB2312" w:eastAsia="楷体_GB2312"/>
          <w:b/>
          <w:color w:val="000000"/>
          <w:sz w:val="32"/>
          <w:szCs w:val="32"/>
        </w:rPr>
        <w:t>（二）省级中医药管理部门</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eastAsia="仿宋_GB2312"/>
          <w:bCs/>
          <w:color w:val="000000"/>
          <w:sz w:val="32"/>
          <w:szCs w:val="32"/>
        </w:rPr>
        <w:t>1</w:t>
      </w:r>
      <w:r>
        <w:rPr>
          <w:rFonts w:hint="eastAsia" w:ascii="仿宋_GB2312" w:eastAsia="仿宋_GB2312"/>
          <w:b/>
          <w:color w:val="000000"/>
          <w:sz w:val="32"/>
          <w:szCs w:val="32"/>
        </w:rPr>
        <w:t>.</w:t>
      </w:r>
      <w:r>
        <w:rPr>
          <w:rFonts w:hint="eastAsia" w:ascii="仿宋_GB2312" w:hAnsi="仿宋_GB2312" w:eastAsia="仿宋_GB2312"/>
          <w:color w:val="000000"/>
          <w:sz w:val="32"/>
          <w:szCs w:val="32"/>
        </w:rPr>
        <w:t>负责本地区普查任务承担单位</w:t>
      </w:r>
      <w:r>
        <w:rPr>
          <w:rFonts w:hint="eastAsia" w:ascii="仿宋_GB2312" w:eastAsia="仿宋_GB2312"/>
          <w:color w:val="000000"/>
          <w:sz w:val="32"/>
          <w:szCs w:val="32"/>
        </w:rPr>
        <w:t>的资金预算</w:t>
      </w:r>
      <w:r>
        <w:rPr>
          <w:rFonts w:hint="eastAsia" w:ascii="仿宋_GB2312" w:hAnsi="仿宋_GB2312" w:eastAsia="仿宋_GB2312"/>
          <w:color w:val="000000"/>
          <w:sz w:val="32"/>
          <w:szCs w:val="32"/>
        </w:rPr>
        <w:t>审核</w:t>
      </w:r>
      <w:r>
        <w:rPr>
          <w:rFonts w:hint="eastAsia" w:ascii="仿宋_GB2312" w:eastAsia="仿宋_GB2312"/>
          <w:color w:val="000000"/>
          <w:sz w:val="32"/>
          <w:szCs w:val="32"/>
        </w:rPr>
        <w:t>和申报；</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2.按资金管理的相关规定，结合本地区实际情况，细化资金使用规定，指导资金的使用，检查监督资金的使用情况；</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3.</w:t>
      </w:r>
      <w:r>
        <w:rPr>
          <w:rFonts w:hint="eastAsia" w:ascii="仿宋_GB2312" w:eastAsia="仿宋_GB2312"/>
          <w:color w:val="000000"/>
          <w:sz w:val="32"/>
          <w:szCs w:val="32"/>
        </w:rPr>
        <w:t>负责审核本地区预算绩效目标；</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4.协调、处理普查实施中出现的问题，提出资金调整、撤销的建议；</w:t>
      </w:r>
    </w:p>
    <w:p>
      <w:pPr>
        <w:adjustRightInd w:val="0"/>
        <w:snapToGrid w:val="0"/>
        <w:spacing w:line="560" w:lineRule="exact"/>
        <w:ind w:firstLine="640" w:firstLineChars="200"/>
        <w:rPr>
          <w:rFonts w:ascii="仿宋_GB2312" w:hAnsi="仿宋_GB2312" w:eastAsia="仿宋_GB2312"/>
          <w:color w:val="000000"/>
          <w:sz w:val="32"/>
          <w:szCs w:val="32"/>
        </w:rPr>
      </w:pPr>
      <w:r>
        <w:rPr>
          <w:rFonts w:hint="eastAsia" w:ascii="仿宋_GB2312" w:hAnsi="仿宋_GB2312" w:eastAsia="仿宋_GB2312"/>
          <w:color w:val="000000"/>
          <w:sz w:val="32"/>
          <w:szCs w:val="32"/>
        </w:rPr>
        <w:t>5.协助国家中医药管理局进行普查的绩效考评和验收工作。</w:t>
      </w:r>
    </w:p>
    <w:p>
      <w:pPr>
        <w:adjustRightInd w:val="0"/>
        <w:snapToGrid w:val="0"/>
        <w:spacing w:line="560" w:lineRule="exact"/>
        <w:ind w:firstLine="640"/>
        <w:rPr>
          <w:rFonts w:ascii="楷体_GB2312" w:eastAsia="楷体_GB2312"/>
          <w:b/>
          <w:color w:val="000000"/>
          <w:sz w:val="32"/>
          <w:szCs w:val="32"/>
        </w:rPr>
      </w:pPr>
      <w:r>
        <w:rPr>
          <w:rFonts w:hint="eastAsia" w:ascii="楷体_GB2312" w:eastAsia="楷体_GB2312"/>
          <w:b/>
          <w:color w:val="000000"/>
          <w:sz w:val="32"/>
          <w:szCs w:val="32"/>
        </w:rPr>
        <w:t>（三）普查任务承担单位</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1.组织承担普查任务的负责人编制资金预算和绩效目标； </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2.负责本单位资金的财务管理和会计核算;</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3.监督承担普查任务的负责人在其审批权限内的各项支出； </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4.接受上级有关部门的监督、检查；</w:t>
      </w:r>
    </w:p>
    <w:p>
      <w:pPr>
        <w:adjustRightInd w:val="0"/>
        <w:snapToGrid w:val="0"/>
        <w:spacing w:line="560" w:lineRule="exact"/>
        <w:ind w:firstLine="640"/>
        <w:rPr>
          <w:rFonts w:ascii="仿宋_GB2312" w:eastAsia="仿宋_GB2312"/>
          <w:color w:val="000000" w:themeColor="text1"/>
          <w:sz w:val="32"/>
          <w:szCs w:val="32"/>
        </w:rPr>
      </w:pPr>
      <w:r>
        <w:rPr>
          <w:rFonts w:hint="eastAsia" w:ascii="仿宋_GB2312" w:eastAsia="仿宋_GB2312"/>
          <w:color w:val="000000"/>
          <w:sz w:val="32"/>
          <w:szCs w:val="32"/>
        </w:rPr>
        <w:t>5.组织承担普查任务的负责人进</w:t>
      </w:r>
      <w:r>
        <w:rPr>
          <w:rFonts w:hint="eastAsia" w:ascii="仿宋_GB2312" w:eastAsia="仿宋_GB2312"/>
          <w:color w:val="000000" w:themeColor="text1"/>
          <w:sz w:val="32"/>
          <w:szCs w:val="32"/>
        </w:rPr>
        <w:t>行自评、审计和绩效考核或验收。</w:t>
      </w:r>
    </w:p>
    <w:p>
      <w:pPr>
        <w:adjustRightInd w:val="0"/>
        <w:snapToGrid w:val="0"/>
        <w:spacing w:line="560" w:lineRule="exact"/>
        <w:ind w:firstLine="640"/>
        <w:rPr>
          <w:rFonts w:ascii="楷体_GB2312" w:eastAsia="楷体_GB2312"/>
          <w:b/>
          <w:color w:val="000000"/>
          <w:sz w:val="32"/>
          <w:szCs w:val="32"/>
        </w:rPr>
      </w:pPr>
      <w:r>
        <w:rPr>
          <w:rFonts w:hint="eastAsia" w:ascii="楷体_GB2312" w:eastAsia="楷体_GB2312"/>
          <w:b/>
          <w:color w:val="000000"/>
          <w:sz w:val="32"/>
          <w:szCs w:val="32"/>
        </w:rPr>
        <w:t xml:space="preserve">（四）承担普查任务的负责人 </w:t>
      </w:r>
    </w:p>
    <w:p>
      <w:pPr>
        <w:adjustRightInd w:val="0"/>
        <w:snapToGrid w:val="0"/>
        <w:spacing w:line="560" w:lineRule="exact"/>
        <w:ind w:firstLine="518" w:firstLineChars="162"/>
        <w:rPr>
          <w:rFonts w:ascii="仿宋_GB2312" w:eastAsia="仿宋_GB2312"/>
          <w:color w:val="000000"/>
          <w:sz w:val="32"/>
          <w:szCs w:val="32"/>
        </w:rPr>
      </w:pPr>
      <w:r>
        <w:rPr>
          <w:rFonts w:hint="eastAsia" w:ascii="仿宋_GB2312" w:eastAsia="仿宋_GB2312"/>
          <w:color w:val="000000"/>
          <w:sz w:val="32"/>
          <w:szCs w:val="32"/>
        </w:rPr>
        <w:t xml:space="preserve"> 1.</w:t>
      </w:r>
      <w:r>
        <w:rPr>
          <w:rFonts w:hint="eastAsia" w:ascii="仿宋_GB2312" w:eastAsia="仿宋_GB2312"/>
          <w:color w:val="000000" w:themeColor="text1"/>
          <w:sz w:val="32"/>
          <w:szCs w:val="32"/>
        </w:rPr>
        <w:t>配合承</w:t>
      </w:r>
      <w:r>
        <w:rPr>
          <w:rFonts w:hint="eastAsia" w:ascii="仿宋_GB2312" w:eastAsia="仿宋_GB2312"/>
          <w:color w:val="000000"/>
          <w:sz w:val="32"/>
          <w:szCs w:val="32"/>
        </w:rPr>
        <w:t xml:space="preserve">担单位编制资金使用计划及绩效目标； </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2.负责执行审批权限内的各项资金支出； </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3.接受上级有关部门和承担单位的监督、检查； </w:t>
      </w:r>
    </w:p>
    <w:p>
      <w:pPr>
        <w:adjustRightInd w:val="0"/>
        <w:snapToGrid w:val="0"/>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4.按国家中医药管理局要求，配合承担单位进行自评、审计和绩效考核或验收。</w:t>
      </w:r>
    </w:p>
    <w:p>
      <w:pPr>
        <w:adjustRightInd w:val="0"/>
        <w:snapToGrid w:val="0"/>
        <w:spacing w:line="560" w:lineRule="exact"/>
        <w:ind w:firstLine="640"/>
        <w:rPr>
          <w:rFonts w:ascii="仿宋_GB2312" w:eastAsia="仿宋_GB2312"/>
          <w:color w:val="000000"/>
          <w:sz w:val="32"/>
          <w:szCs w:val="32"/>
        </w:rPr>
      </w:pPr>
    </w:p>
    <w:p>
      <w:pPr>
        <w:numPr>
          <w:ilvl w:val="0"/>
          <w:numId w:val="1"/>
        </w:numPr>
        <w:adjustRightInd w:val="0"/>
        <w:snapToGrid w:val="0"/>
        <w:spacing w:line="560" w:lineRule="exact"/>
        <w:jc w:val="center"/>
        <w:rPr>
          <w:rFonts w:ascii="黑体" w:hAnsi="黑体" w:eastAsia="黑体"/>
          <w:color w:val="000000"/>
          <w:sz w:val="32"/>
          <w:szCs w:val="32"/>
        </w:rPr>
      </w:pPr>
      <w:r>
        <w:rPr>
          <w:rFonts w:hint="eastAsia" w:ascii="黑体" w:hAnsi="黑体" w:eastAsia="黑体" w:cs="Arial"/>
          <w:color w:val="000000"/>
          <w:kern w:val="0"/>
          <w:sz w:val="32"/>
          <w:szCs w:val="32"/>
        </w:rPr>
        <w:t>绩效评价</w:t>
      </w:r>
    </w:p>
    <w:p>
      <w:pPr>
        <w:numPr>
          <w:ilvl w:val="0"/>
          <w:numId w:val="2"/>
        </w:numPr>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国家中医药管理局根据普查工作实际情况制定具体的考核（验收）管理办法，明确具体的评价指标和标准，并具体组织实施绩效评价工作。绩效评价工作可根据需要委托专家、社会中介机构等第三方实施。</w:t>
      </w:r>
    </w:p>
    <w:p>
      <w:pPr>
        <w:numPr>
          <w:ilvl w:val="0"/>
          <w:numId w:val="2"/>
        </w:numPr>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绩效评价采取定量与定性相结合、评分与评级相结合的形式，具体分值和等级可根据不同普查任务设定。</w:t>
      </w:r>
    </w:p>
    <w:p>
      <w:pPr>
        <w:numPr>
          <w:ilvl w:val="0"/>
          <w:numId w:val="2"/>
        </w:numPr>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国家中医药管理局根据《财政支出绩效评价管理暂行办法》等相关文件制定绩效评价方案，组织、指导省级中医药管理部门或普查任务承担单位的绩效评价工作。</w:t>
      </w:r>
    </w:p>
    <w:p>
      <w:pPr>
        <w:numPr>
          <w:ilvl w:val="0"/>
          <w:numId w:val="2"/>
        </w:numPr>
        <w:adjustRightInd w:val="0"/>
        <w:snapToGrid w:val="0"/>
        <w:spacing w:line="560" w:lineRule="exact"/>
        <w:ind w:left="0" w:firstLine="640"/>
        <w:rPr>
          <w:rFonts w:ascii="仿宋_GB2312" w:hAnsi="仿宋_GB2312" w:eastAsia="仿宋_GB2312"/>
          <w:color w:val="000000"/>
          <w:spacing w:val="-4"/>
          <w:sz w:val="32"/>
          <w:szCs w:val="32"/>
        </w:rPr>
      </w:pPr>
      <w:r>
        <w:rPr>
          <w:rFonts w:hint="eastAsia" w:ascii="仿宋_GB2312" w:hAnsi="仿宋_GB2312" w:eastAsia="仿宋_GB2312"/>
          <w:color w:val="000000"/>
          <w:spacing w:val="-4"/>
          <w:sz w:val="32"/>
          <w:szCs w:val="32"/>
        </w:rPr>
        <w:t>省级中医药管理部门或普查任务承担单位根据绩效评价方案，对资金投入和使用情况、为实现绩效目标制定的制度、采取的措施、绩效目标的实现程度及效果等方面进行自评价。</w:t>
      </w:r>
    </w:p>
    <w:p>
      <w:pPr>
        <w:numPr>
          <w:ilvl w:val="0"/>
          <w:numId w:val="2"/>
        </w:numPr>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国家中医药管理局及时整理、归纳、分析、反馈绩效评价结果，并将其作为改进</w:t>
      </w:r>
      <w:r>
        <w:rPr>
          <w:rFonts w:hint="eastAsia" w:ascii="仿宋_GB2312" w:hAnsi="仿宋_GB2312" w:eastAsia="仿宋_GB2312"/>
          <w:color w:val="000000" w:themeColor="text1"/>
          <w:sz w:val="32"/>
          <w:szCs w:val="32"/>
        </w:rPr>
        <w:t>专项资</w:t>
      </w:r>
      <w:r>
        <w:rPr>
          <w:rFonts w:hint="eastAsia" w:ascii="仿宋_GB2312" w:hAnsi="仿宋_GB2312" w:eastAsia="仿宋_GB2312"/>
          <w:color w:val="000000"/>
          <w:sz w:val="32"/>
          <w:szCs w:val="32"/>
        </w:rPr>
        <w:t>金预算管理和安排年度预算的依据。对绩效评价结果较好的，予以表扬。对达不到绩效目标或评价结果较差的，予以通报批评，并责令限期整改。不进行整改或整改不到位的，相应调减或取消资金。</w:t>
      </w:r>
    </w:p>
    <w:p>
      <w:pPr>
        <w:numPr>
          <w:ilvl w:val="0"/>
          <w:numId w:val="2"/>
        </w:numPr>
        <w:adjustRightInd w:val="0"/>
        <w:snapToGrid w:val="0"/>
        <w:spacing w:line="560" w:lineRule="exact"/>
        <w:ind w:left="0" w:firstLine="640"/>
        <w:rPr>
          <w:rFonts w:ascii="仿宋_GB2312" w:hAnsi="仿宋_GB2312" w:eastAsia="仿宋_GB2312"/>
          <w:color w:val="000000"/>
          <w:sz w:val="32"/>
          <w:szCs w:val="32"/>
        </w:rPr>
      </w:pPr>
      <w:r>
        <w:rPr>
          <w:rFonts w:hint="eastAsia" w:ascii="仿宋_GB2312" w:hAnsi="仿宋_GB2312" w:eastAsia="仿宋_GB2312"/>
          <w:color w:val="000000"/>
          <w:sz w:val="32"/>
          <w:szCs w:val="32"/>
        </w:rPr>
        <w:t>绩效评价原则上每年一次，也可根据普查实际工作需要，开展中期绩效评价。</w:t>
      </w:r>
    </w:p>
    <w:p>
      <w:pPr>
        <w:adjustRightInd w:val="0"/>
        <w:snapToGrid w:val="0"/>
        <w:spacing w:line="560" w:lineRule="exact"/>
        <w:ind w:left="640"/>
        <w:rPr>
          <w:rFonts w:ascii="仿宋_GB2312" w:hAnsi="仿宋_GB2312" w:eastAsia="仿宋_GB2312"/>
          <w:color w:val="000000"/>
          <w:sz w:val="32"/>
          <w:szCs w:val="32"/>
        </w:rPr>
      </w:pPr>
    </w:p>
    <w:p>
      <w:pPr>
        <w:numPr>
          <w:ilvl w:val="0"/>
          <w:numId w:val="1"/>
        </w:numPr>
        <w:adjustRightInd w:val="0"/>
        <w:snapToGrid w:val="0"/>
        <w:spacing w:line="560" w:lineRule="exact"/>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监督检查</w:t>
      </w:r>
    </w:p>
    <w:p>
      <w:pPr>
        <w:numPr>
          <w:ilvl w:val="0"/>
          <w:numId w:val="2"/>
        </w:numPr>
        <w:adjustRightInd w:val="0"/>
        <w:snapToGrid w:val="0"/>
        <w:spacing w:line="560" w:lineRule="exact"/>
        <w:ind w:left="0" w:firstLine="640"/>
        <w:rPr>
          <w:rFonts w:ascii="仿宋_GB2312" w:eastAsia="仿宋_GB2312"/>
          <w:color w:val="000000"/>
          <w:spacing w:val="2"/>
          <w:sz w:val="32"/>
          <w:szCs w:val="32"/>
        </w:rPr>
      </w:pPr>
      <w:r>
        <w:rPr>
          <w:rFonts w:hint="eastAsia" w:ascii="仿宋_GB2312" w:eastAsia="仿宋_GB2312"/>
          <w:color w:val="000000"/>
          <w:spacing w:val="2"/>
          <w:sz w:val="32"/>
          <w:szCs w:val="32"/>
        </w:rPr>
        <w:t>资金要专款专用，各级中医药管理部门及承担单位要按照</w:t>
      </w:r>
      <w:r>
        <w:rPr>
          <w:rFonts w:hint="eastAsia" w:ascii="仿宋_GB2312" w:eastAsia="仿宋_GB2312"/>
          <w:color w:val="000000" w:themeColor="text1"/>
          <w:spacing w:val="2"/>
          <w:sz w:val="32"/>
          <w:szCs w:val="32"/>
        </w:rPr>
        <w:t>专项</w:t>
      </w:r>
      <w:r>
        <w:rPr>
          <w:rFonts w:hint="eastAsia" w:ascii="仿宋_GB2312" w:eastAsia="仿宋_GB2312"/>
          <w:color w:val="000000"/>
          <w:spacing w:val="2"/>
          <w:sz w:val="32"/>
          <w:szCs w:val="32"/>
        </w:rPr>
        <w:t>有关规定安排使用资金，不得擅自扩大</w:t>
      </w:r>
      <w:r>
        <w:rPr>
          <w:rFonts w:hint="eastAsia" w:ascii="仿宋_GB2312" w:hAnsi="仿宋_GB2312" w:eastAsia="仿宋_GB2312"/>
          <w:color w:val="000000"/>
          <w:spacing w:val="2"/>
          <w:sz w:val="32"/>
          <w:szCs w:val="32"/>
        </w:rPr>
        <w:t>支出</w:t>
      </w:r>
      <w:r>
        <w:rPr>
          <w:rFonts w:hint="eastAsia" w:ascii="仿宋_GB2312" w:eastAsia="仿宋_GB2312"/>
          <w:color w:val="000000"/>
          <w:spacing w:val="2"/>
          <w:sz w:val="32"/>
          <w:szCs w:val="32"/>
        </w:rPr>
        <w:t>范围，改变支出用途，不得以任何形式挤占、挪用、截留和滞留。年度未支出的资金，按财政部对结转结余资金管理的有关规定进行管理。</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eastAsia="仿宋_GB2312"/>
          <w:color w:val="000000"/>
          <w:sz w:val="32"/>
          <w:szCs w:val="32"/>
        </w:rPr>
        <w:t>各级中医药管理部门、承担单位及其工作人员在资金分配、审核工作中，存在违反规定分配</w:t>
      </w:r>
      <w:r>
        <w:rPr>
          <w:rFonts w:hint="eastAsia" w:ascii="仿宋_GB2312" w:hAnsi="仿宋_GB2312" w:eastAsia="仿宋_GB2312"/>
          <w:color w:val="000000"/>
          <w:sz w:val="32"/>
          <w:szCs w:val="32"/>
        </w:rPr>
        <w:t>资金</w:t>
      </w:r>
      <w:r>
        <w:rPr>
          <w:rFonts w:hint="eastAsia" w:ascii="仿宋_GB2312" w:eastAsia="仿宋_GB2312"/>
          <w:color w:val="000000"/>
          <w:sz w:val="32"/>
          <w:szCs w:val="32"/>
        </w:rPr>
        <w:t>、向不符合条件的单位（或项目）分配资金，或者擅自超出规定的范围或者标准分配或使用专项资金，以及其他滥用职权、玩忽职守、徇私舞弊等违法违纪行为的，按照《中华人民共和国预算法》、《中华人民共和国公务员法》、《中华人民共和国行政监察法》、《财政违法行为处罚条例》等国家有关规定追究相应责任；涉嫌犯罪的，移送司法机关处理。</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eastAsia="仿宋_GB2312"/>
          <w:color w:val="000000"/>
          <w:sz w:val="32"/>
          <w:szCs w:val="32"/>
        </w:rPr>
        <w:t>各级中医药管理部门要加强对资金使用情况的监督管理，认真开展资金管理和使用情况监督检查，及时发现和纠正有关问题。</w:t>
      </w:r>
    </w:p>
    <w:p>
      <w:pPr>
        <w:adjustRightInd w:val="0"/>
        <w:snapToGrid w:val="0"/>
        <w:spacing w:line="560" w:lineRule="exact"/>
        <w:rPr>
          <w:rFonts w:ascii="仿宋_GB2312" w:eastAsia="仿宋_GB2312"/>
          <w:color w:val="000000"/>
          <w:sz w:val="32"/>
          <w:szCs w:val="32"/>
        </w:rPr>
      </w:pPr>
    </w:p>
    <w:p>
      <w:pPr>
        <w:numPr>
          <w:ilvl w:val="0"/>
          <w:numId w:val="1"/>
        </w:numPr>
        <w:adjustRightInd w:val="0"/>
        <w:snapToGrid w:val="0"/>
        <w:spacing w:line="560" w:lineRule="exact"/>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附则</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eastAsia="仿宋_GB2312"/>
          <w:color w:val="000000"/>
          <w:sz w:val="32"/>
          <w:szCs w:val="32"/>
        </w:rPr>
        <w:t>本办法由国家中医药管理局负责解释。</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eastAsia="仿宋_GB2312"/>
          <w:color w:val="000000"/>
          <w:sz w:val="32"/>
          <w:szCs w:val="32"/>
        </w:rPr>
        <w:t>省级中医药管理部门根据本办法，结合本地实际，制定实施细则。</w:t>
      </w:r>
    </w:p>
    <w:p>
      <w:pPr>
        <w:numPr>
          <w:ilvl w:val="0"/>
          <w:numId w:val="2"/>
        </w:numPr>
        <w:adjustRightInd w:val="0"/>
        <w:snapToGrid w:val="0"/>
        <w:spacing w:line="560" w:lineRule="exact"/>
        <w:ind w:left="0" w:firstLine="640"/>
        <w:rPr>
          <w:rFonts w:ascii="仿宋_GB2312" w:eastAsia="仿宋_GB2312"/>
          <w:color w:val="000000"/>
          <w:sz w:val="32"/>
          <w:szCs w:val="32"/>
        </w:rPr>
      </w:pPr>
      <w:r>
        <w:rPr>
          <w:rFonts w:hint="eastAsia" w:ascii="仿宋_GB2312" w:hAnsi="Calibri" w:eastAsia="仿宋_GB2312"/>
          <w:color w:val="000000"/>
          <w:sz w:val="32"/>
          <w:szCs w:val="32"/>
        </w:rPr>
        <w:t>本办法自印发之日起施行。《国家中医药理局关于印发&lt;第四次全国中药资源普查专项资金管理暂行办法&gt;的通知》（国中医药科技发</w:t>
      </w:r>
      <w:r>
        <w:rPr>
          <w:rFonts w:hint="eastAsia" w:ascii="仿宋_GB2312" w:hAnsi="宋体" w:eastAsia="仿宋_GB2312" w:cs="宋体"/>
          <w:color w:val="000000"/>
          <w:sz w:val="32"/>
          <w:szCs w:val="32"/>
        </w:rPr>
        <w:t>〔2017〕</w:t>
      </w:r>
      <w:r>
        <w:rPr>
          <w:rFonts w:hint="eastAsia" w:ascii="仿宋_GB2312" w:hAnsi="Calibri" w:eastAsia="仿宋_GB2312"/>
          <w:color w:val="000000"/>
          <w:sz w:val="32"/>
          <w:szCs w:val="32"/>
        </w:rPr>
        <w:t>21号）同时废止。</w:t>
      </w:r>
      <w:bookmarkStart w:id="0" w:name="_GoBack"/>
      <w:bookmarkEnd w:id="0"/>
    </w:p>
    <w:sectPr>
      <w:footerReference r:id="rId3" w:type="default"/>
      <w:footerReference r:id="rId4" w:type="even"/>
      <w:pgSz w:w="11906" w:h="16838"/>
      <w:pgMar w:top="1701" w:right="1531" w:bottom="1701"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8505"/>
      </w:tabs>
      <w:ind w:firstLine="7560" w:firstLineChars="27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3</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95971"/>
    <w:multiLevelType w:val="multilevel"/>
    <w:tmpl w:val="0C195971"/>
    <w:lvl w:ilvl="0" w:tentative="0">
      <w:start w:val="1"/>
      <w:numFmt w:val="chineseCountingThousand"/>
      <w:lvlText w:val="第%1章"/>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4E01445"/>
    <w:multiLevelType w:val="multilevel"/>
    <w:tmpl w:val="14E01445"/>
    <w:lvl w:ilvl="0" w:tentative="0">
      <w:start w:val="1"/>
      <w:numFmt w:val="chineseCountingThousand"/>
      <w:suff w:val="nothing"/>
      <w:lvlText w:val="（%1）"/>
      <w:lvlJc w:val="left"/>
      <w:pPr>
        <w:ind w:left="4673" w:hanging="4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BAC14DB"/>
    <w:multiLevelType w:val="multilevel"/>
    <w:tmpl w:val="2BAC14DB"/>
    <w:lvl w:ilvl="0" w:tentative="0">
      <w:start w:val="1"/>
      <w:numFmt w:val="chineseCountingThousand"/>
      <w:suff w:val="nothing"/>
      <w:lvlText w:val="第%1条  "/>
      <w:lvlJc w:val="left"/>
      <w:pPr>
        <w:ind w:left="1271" w:hanging="420"/>
      </w:pPr>
      <w:rPr>
        <w:rFonts w:hint="eastAsia" w:ascii="黑体" w:hAnsi="黑体" w:eastAsia="黑体"/>
        <w:b w:val="0"/>
        <w:i w:val="0"/>
        <w:lang w:val="en-US"/>
      </w:rPr>
    </w:lvl>
    <w:lvl w:ilvl="1" w:tentative="0">
      <w:start w:val="1"/>
      <w:numFmt w:val="lowerLetter"/>
      <w:lvlText w:val="%2)"/>
      <w:lvlJc w:val="left"/>
      <w:pPr>
        <w:ind w:left="-861" w:hanging="420"/>
      </w:pPr>
    </w:lvl>
    <w:lvl w:ilvl="2" w:tentative="0">
      <w:start w:val="1"/>
      <w:numFmt w:val="lowerRoman"/>
      <w:lvlText w:val="%3."/>
      <w:lvlJc w:val="right"/>
      <w:pPr>
        <w:ind w:left="-441" w:hanging="420"/>
      </w:pPr>
    </w:lvl>
    <w:lvl w:ilvl="3" w:tentative="0">
      <w:start w:val="1"/>
      <w:numFmt w:val="decimal"/>
      <w:lvlText w:val="%4."/>
      <w:lvlJc w:val="left"/>
      <w:pPr>
        <w:ind w:left="-21" w:hanging="420"/>
      </w:pPr>
    </w:lvl>
    <w:lvl w:ilvl="4" w:tentative="0">
      <w:start w:val="1"/>
      <w:numFmt w:val="lowerLetter"/>
      <w:lvlText w:val="%5)"/>
      <w:lvlJc w:val="left"/>
      <w:pPr>
        <w:ind w:left="399" w:hanging="420"/>
      </w:pPr>
    </w:lvl>
    <w:lvl w:ilvl="5" w:tentative="0">
      <w:start w:val="1"/>
      <w:numFmt w:val="lowerRoman"/>
      <w:lvlText w:val="%6."/>
      <w:lvlJc w:val="right"/>
      <w:pPr>
        <w:ind w:left="819" w:hanging="420"/>
      </w:pPr>
    </w:lvl>
    <w:lvl w:ilvl="6" w:tentative="0">
      <w:start w:val="1"/>
      <w:numFmt w:val="decimal"/>
      <w:lvlText w:val="%7."/>
      <w:lvlJc w:val="left"/>
      <w:pPr>
        <w:ind w:left="1239" w:hanging="420"/>
      </w:pPr>
    </w:lvl>
    <w:lvl w:ilvl="7" w:tentative="0">
      <w:start w:val="1"/>
      <w:numFmt w:val="lowerLetter"/>
      <w:lvlText w:val="%8)"/>
      <w:lvlJc w:val="left"/>
      <w:pPr>
        <w:ind w:left="1659" w:hanging="420"/>
      </w:pPr>
    </w:lvl>
    <w:lvl w:ilvl="8" w:tentative="0">
      <w:start w:val="1"/>
      <w:numFmt w:val="lowerRoman"/>
      <w:lvlText w:val="%9."/>
      <w:lvlJc w:val="right"/>
      <w:pPr>
        <w:ind w:left="2079"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2A2"/>
    <w:rsid w:val="0001419E"/>
    <w:rsid w:val="00021178"/>
    <w:rsid w:val="00021BD0"/>
    <w:rsid w:val="000511EC"/>
    <w:rsid w:val="000830B1"/>
    <w:rsid w:val="00085554"/>
    <w:rsid w:val="000A1C82"/>
    <w:rsid w:val="000B6C14"/>
    <w:rsid w:val="000C061F"/>
    <w:rsid w:val="000D3211"/>
    <w:rsid w:val="000D6D7B"/>
    <w:rsid w:val="000E11F6"/>
    <w:rsid w:val="000F108F"/>
    <w:rsid w:val="00102F79"/>
    <w:rsid w:val="00110055"/>
    <w:rsid w:val="00111C96"/>
    <w:rsid w:val="0012215A"/>
    <w:rsid w:val="001254F4"/>
    <w:rsid w:val="001271CD"/>
    <w:rsid w:val="0013098E"/>
    <w:rsid w:val="001458AC"/>
    <w:rsid w:val="0016453E"/>
    <w:rsid w:val="00166980"/>
    <w:rsid w:val="00170094"/>
    <w:rsid w:val="00190FE2"/>
    <w:rsid w:val="0019196B"/>
    <w:rsid w:val="00192F1A"/>
    <w:rsid w:val="00195CFD"/>
    <w:rsid w:val="00197E43"/>
    <w:rsid w:val="00204C5A"/>
    <w:rsid w:val="00207034"/>
    <w:rsid w:val="00237BE6"/>
    <w:rsid w:val="00246298"/>
    <w:rsid w:val="002559A6"/>
    <w:rsid w:val="00256244"/>
    <w:rsid w:val="002649AF"/>
    <w:rsid w:val="00290958"/>
    <w:rsid w:val="002A28BC"/>
    <w:rsid w:val="002A7ECE"/>
    <w:rsid w:val="002B6AF5"/>
    <w:rsid w:val="002C160E"/>
    <w:rsid w:val="002C448B"/>
    <w:rsid w:val="002D1129"/>
    <w:rsid w:val="00311936"/>
    <w:rsid w:val="00320D22"/>
    <w:rsid w:val="0032397B"/>
    <w:rsid w:val="00331604"/>
    <w:rsid w:val="0034688D"/>
    <w:rsid w:val="00363074"/>
    <w:rsid w:val="003709B6"/>
    <w:rsid w:val="003762C8"/>
    <w:rsid w:val="003C1EA1"/>
    <w:rsid w:val="003C5A80"/>
    <w:rsid w:val="00411C64"/>
    <w:rsid w:val="0041301F"/>
    <w:rsid w:val="00414C49"/>
    <w:rsid w:val="00435C3D"/>
    <w:rsid w:val="00447DA8"/>
    <w:rsid w:val="0046198B"/>
    <w:rsid w:val="004B1953"/>
    <w:rsid w:val="004B4EFF"/>
    <w:rsid w:val="004D068D"/>
    <w:rsid w:val="004D331F"/>
    <w:rsid w:val="004E384E"/>
    <w:rsid w:val="004E7F1E"/>
    <w:rsid w:val="004F3A6E"/>
    <w:rsid w:val="00511B05"/>
    <w:rsid w:val="005310AE"/>
    <w:rsid w:val="00532CBE"/>
    <w:rsid w:val="005511C3"/>
    <w:rsid w:val="0055473A"/>
    <w:rsid w:val="00555C8C"/>
    <w:rsid w:val="0056444B"/>
    <w:rsid w:val="00580FE4"/>
    <w:rsid w:val="005941B1"/>
    <w:rsid w:val="00595C8D"/>
    <w:rsid w:val="005B667E"/>
    <w:rsid w:val="005E1748"/>
    <w:rsid w:val="005E1FE5"/>
    <w:rsid w:val="005E6015"/>
    <w:rsid w:val="005F1119"/>
    <w:rsid w:val="00604319"/>
    <w:rsid w:val="0063433B"/>
    <w:rsid w:val="0066358C"/>
    <w:rsid w:val="00671F1E"/>
    <w:rsid w:val="00682863"/>
    <w:rsid w:val="0068468A"/>
    <w:rsid w:val="006A62BC"/>
    <w:rsid w:val="006C00ED"/>
    <w:rsid w:val="006D463D"/>
    <w:rsid w:val="006D7E1E"/>
    <w:rsid w:val="006E24E7"/>
    <w:rsid w:val="006F2D1D"/>
    <w:rsid w:val="006F7AD7"/>
    <w:rsid w:val="00703417"/>
    <w:rsid w:val="00713D96"/>
    <w:rsid w:val="007223FF"/>
    <w:rsid w:val="007228A5"/>
    <w:rsid w:val="007331F1"/>
    <w:rsid w:val="007466B8"/>
    <w:rsid w:val="00753191"/>
    <w:rsid w:val="007A3350"/>
    <w:rsid w:val="007C7068"/>
    <w:rsid w:val="007F0A68"/>
    <w:rsid w:val="007F1E8F"/>
    <w:rsid w:val="008139D9"/>
    <w:rsid w:val="008342DA"/>
    <w:rsid w:val="0085236D"/>
    <w:rsid w:val="00882B59"/>
    <w:rsid w:val="0088540C"/>
    <w:rsid w:val="00897CF9"/>
    <w:rsid w:val="008D77B1"/>
    <w:rsid w:val="008E70F2"/>
    <w:rsid w:val="008F091C"/>
    <w:rsid w:val="008F117F"/>
    <w:rsid w:val="00903210"/>
    <w:rsid w:val="00913C77"/>
    <w:rsid w:val="00924CA7"/>
    <w:rsid w:val="00925E9A"/>
    <w:rsid w:val="00950867"/>
    <w:rsid w:val="009530D7"/>
    <w:rsid w:val="00977327"/>
    <w:rsid w:val="0098302E"/>
    <w:rsid w:val="009B1304"/>
    <w:rsid w:val="009B7F9C"/>
    <w:rsid w:val="009C6A24"/>
    <w:rsid w:val="009D1CC2"/>
    <w:rsid w:val="00A0713E"/>
    <w:rsid w:val="00A14DCF"/>
    <w:rsid w:val="00A34F83"/>
    <w:rsid w:val="00A41D4F"/>
    <w:rsid w:val="00A46337"/>
    <w:rsid w:val="00A547A5"/>
    <w:rsid w:val="00A85E55"/>
    <w:rsid w:val="00A934C7"/>
    <w:rsid w:val="00AC2BDD"/>
    <w:rsid w:val="00B12C9B"/>
    <w:rsid w:val="00B41F18"/>
    <w:rsid w:val="00B42198"/>
    <w:rsid w:val="00B432A2"/>
    <w:rsid w:val="00B60570"/>
    <w:rsid w:val="00B667A6"/>
    <w:rsid w:val="00BD04BB"/>
    <w:rsid w:val="00BD305E"/>
    <w:rsid w:val="00BF7888"/>
    <w:rsid w:val="00C00274"/>
    <w:rsid w:val="00C10DC3"/>
    <w:rsid w:val="00C13FCC"/>
    <w:rsid w:val="00C15024"/>
    <w:rsid w:val="00C70D3C"/>
    <w:rsid w:val="00C81F1A"/>
    <w:rsid w:val="00C84EDA"/>
    <w:rsid w:val="00CA57FF"/>
    <w:rsid w:val="00CB39EE"/>
    <w:rsid w:val="00CC016A"/>
    <w:rsid w:val="00CC714D"/>
    <w:rsid w:val="00CD0077"/>
    <w:rsid w:val="00CD0F47"/>
    <w:rsid w:val="00CD15AA"/>
    <w:rsid w:val="00CD66B5"/>
    <w:rsid w:val="00CF0FB5"/>
    <w:rsid w:val="00D146CF"/>
    <w:rsid w:val="00D26B95"/>
    <w:rsid w:val="00D27F03"/>
    <w:rsid w:val="00D30652"/>
    <w:rsid w:val="00D52344"/>
    <w:rsid w:val="00D6086E"/>
    <w:rsid w:val="00D95DFC"/>
    <w:rsid w:val="00DC6034"/>
    <w:rsid w:val="00DD1446"/>
    <w:rsid w:val="00DF6048"/>
    <w:rsid w:val="00DF662F"/>
    <w:rsid w:val="00DF7F5A"/>
    <w:rsid w:val="00E22F70"/>
    <w:rsid w:val="00E24937"/>
    <w:rsid w:val="00E41B2C"/>
    <w:rsid w:val="00E448CD"/>
    <w:rsid w:val="00EA00C4"/>
    <w:rsid w:val="00EA57F7"/>
    <w:rsid w:val="00EC759D"/>
    <w:rsid w:val="00ED221F"/>
    <w:rsid w:val="00EE1C26"/>
    <w:rsid w:val="00EF0C9A"/>
    <w:rsid w:val="00EF5847"/>
    <w:rsid w:val="00EF63CA"/>
    <w:rsid w:val="00F20312"/>
    <w:rsid w:val="00F76112"/>
    <w:rsid w:val="00F9501C"/>
    <w:rsid w:val="00F96B4F"/>
    <w:rsid w:val="00FA6A68"/>
    <w:rsid w:val="00FC1748"/>
    <w:rsid w:val="00FE0D95"/>
    <w:rsid w:val="00FE2B16"/>
    <w:rsid w:val="00FE2C66"/>
    <w:rsid w:val="00FE705D"/>
    <w:rsid w:val="30C93B1B"/>
    <w:rsid w:val="38754375"/>
    <w:rsid w:val="3BF072E6"/>
    <w:rsid w:val="5B0B237B"/>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uiPriority w:val="0"/>
    <w:pPr>
      <w:ind w:left="100" w:leftChars="2500"/>
    </w:pPr>
  </w:style>
  <w:style w:type="paragraph" w:styleId="3">
    <w:name w:val="Balloon Text"/>
    <w:basedOn w:val="1"/>
    <w:link w:val="15"/>
    <w:semiHidden/>
    <w:unhideWhenUsed/>
    <w:uiPriority w:val="0"/>
    <w:rPr>
      <w:sz w:val="18"/>
      <w:szCs w:val="18"/>
    </w:rPr>
  </w:style>
  <w:style w:type="paragraph" w:styleId="4">
    <w:name w:val="footer"/>
    <w:basedOn w:val="1"/>
    <w:link w:val="13"/>
    <w:unhideWhenUsed/>
    <w:uiPriority w:val="99"/>
    <w:pPr>
      <w:tabs>
        <w:tab w:val="center" w:pos="4153"/>
        <w:tab w:val="right" w:pos="8306"/>
      </w:tabs>
      <w:snapToGrid w:val="0"/>
      <w:jc w:val="left"/>
    </w:pPr>
    <w:rPr>
      <w:rFonts w:ascii="Calibri" w:hAnsi="Calibri"/>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Hyperlink"/>
    <w:basedOn w:val="9"/>
    <w:unhideWhenUsed/>
    <w:uiPriority w:val="99"/>
    <w:rPr>
      <w:color w:val="0000FF"/>
      <w:u w:val="single"/>
    </w:rPr>
  </w:style>
  <w:style w:type="character" w:customStyle="1" w:styleId="12">
    <w:name w:val="页眉 Char"/>
    <w:basedOn w:val="9"/>
    <w:link w:val="5"/>
    <w:semiHidden/>
    <w:uiPriority w:val="99"/>
    <w:rPr>
      <w:sz w:val="18"/>
      <w:szCs w:val="18"/>
    </w:rPr>
  </w:style>
  <w:style w:type="character" w:customStyle="1" w:styleId="13">
    <w:name w:val="页脚 Char"/>
    <w:basedOn w:val="9"/>
    <w:link w:val="4"/>
    <w:uiPriority w:val="99"/>
    <w:rPr>
      <w:sz w:val="18"/>
      <w:szCs w:val="18"/>
    </w:rPr>
  </w:style>
  <w:style w:type="character" w:customStyle="1" w:styleId="14">
    <w:name w:val="日期 Char"/>
    <w:basedOn w:val="9"/>
    <w:link w:val="2"/>
    <w:semiHidden/>
    <w:uiPriority w:val="0"/>
    <w:rPr>
      <w:kern w:val="2"/>
      <w:sz w:val="21"/>
      <w:szCs w:val="24"/>
    </w:rPr>
  </w:style>
  <w:style w:type="character" w:customStyle="1" w:styleId="15">
    <w:name w:val="批注框文本 Char"/>
    <w:basedOn w:val="9"/>
    <w:link w:val="3"/>
    <w:semiHidden/>
    <w:qFormat/>
    <w:uiPriority w:val="0"/>
    <w:rPr>
      <w:kern w:val="2"/>
      <w:sz w:val="18"/>
      <w:szCs w:val="18"/>
    </w:rPr>
  </w:style>
  <w:style w:type="paragraph" w:customStyle="1" w:styleId="16">
    <w:name w:val="正文 A"/>
    <w:qFormat/>
    <w:uiPriority w:val="0"/>
    <w:pPr>
      <w:pBdr>
        <w:top w:val="none" w:color="auto" w:sz="0" w:space="0"/>
        <w:left w:val="none" w:color="auto" w:sz="0" w:space="0"/>
        <w:bottom w:val="none" w:color="auto" w:sz="0" w:space="0"/>
        <w:right w:val="none" w:color="auto" w:sz="0" w:space="0"/>
        <w:between w:val="none" w:color="auto" w:sz="0" w:space="0"/>
      </w:pBdr>
    </w:pPr>
    <w:rPr>
      <w:rFonts w:hint="eastAsia" w:ascii="Arial Unicode MS" w:hAnsi="Arial Unicode MS" w:eastAsia="Arial Unicode MS" w:cs="Arial Unicode MS"/>
      <w:color w:val="000000"/>
      <w:sz w:val="22"/>
      <w:szCs w:val="22"/>
      <w:u w:color="000000"/>
      <w:lang w:val="zh-TW" w:eastAsia="zh-TW" w:bidi="ar-SA"/>
    </w:rPr>
  </w:style>
  <w:style w:type="table" w:customStyle="1" w:styleId="17">
    <w:name w:val="网格型1"/>
    <w:basedOn w:val="7"/>
    <w:qFormat/>
    <w:uiPriority w:val="59"/>
    <w:rPr>
      <w:rFonts w:ascii="仿宋_GB2312" w:hAnsi="Calibri" w:eastAsia="仿宋_GB2312"/>
      <w:kern w:val="2"/>
      <w:sz w:val="32"/>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18">
    <w:name w:val="公文标题1"/>
    <w:basedOn w:val="1"/>
    <w:link w:val="19"/>
    <w:qFormat/>
    <w:uiPriority w:val="0"/>
    <w:pPr>
      <w:spacing w:line="500" w:lineRule="exact"/>
      <w:jc w:val="center"/>
    </w:pPr>
    <w:rPr>
      <w:rFonts w:ascii="方正小标宋简体" w:hAnsi="仿宋" w:eastAsia="方正小标宋简体"/>
      <w:sz w:val="44"/>
      <w:szCs w:val="32"/>
    </w:rPr>
  </w:style>
  <w:style w:type="character" w:customStyle="1" w:styleId="19">
    <w:name w:val="公文标题1 Char"/>
    <w:basedOn w:val="9"/>
    <w:link w:val="18"/>
    <w:qFormat/>
    <w:uiPriority w:val="0"/>
    <w:rPr>
      <w:rFonts w:ascii="方正小标宋简体" w:hAnsi="仿宋" w:eastAsia="方正小标宋简体" w:cs="Times New Roman"/>
      <w:kern w:val="2"/>
      <w:sz w:val="44"/>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45D6FE-017E-4390-B5F2-A66EBA624454}">
  <ds:schemaRefs/>
</ds:datastoreItem>
</file>

<file path=docProps/app.xml><?xml version="1.0" encoding="utf-8"?>
<Properties xmlns="http://schemas.openxmlformats.org/officeDocument/2006/extended-properties" xmlns:vt="http://schemas.openxmlformats.org/officeDocument/2006/docPropsVTypes">
  <Template>Normal.dotm</Template>
  <Company>您的公司名</Company>
  <Pages>1</Pages>
  <Words>1050</Words>
  <Characters>5990</Characters>
  <Lines>49</Lines>
  <Paragraphs>14</Paragraphs>
  <TotalTime>45</TotalTime>
  <ScaleCrop>false</ScaleCrop>
  <LinksUpToDate>false</LinksUpToDate>
  <CharactersWithSpaces>7026</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2018-01-16T06:21:00Z</dcterms:created>
  <dc:creator>n</dc:creator>
  <cp:lastModifiedBy>wln</cp:lastModifiedBy>
  <cp:lastPrinted>2018-01-17T02:26:00Z</cp:lastPrinted>
  <dcterms:modified xsi:type="dcterms:W3CDTF">2020-10-15T04:03:40Z</dcterms:modified>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