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ascii="黑体" w:hAnsi="黑体" w:eastAsia="黑体"/>
          <w:sz w:val="32"/>
          <w:szCs w:val="32"/>
        </w:rPr>
      </w:pPr>
      <w:r>
        <w:rPr>
          <w:rFonts w:hint="eastAsia" w:ascii="黑体" w:hAnsi="黑体" w:eastAsia="黑体"/>
          <w:sz w:val="32"/>
          <w:szCs w:val="32"/>
        </w:rPr>
        <w:t>附件1</w:t>
      </w:r>
    </w:p>
    <w:p>
      <w:pPr>
        <w:spacing w:line="600" w:lineRule="exact"/>
        <w:jc w:val="left"/>
        <w:rPr>
          <w:rFonts w:ascii="黑体" w:hAnsi="黑体" w:eastAsia="黑体"/>
          <w:sz w:val="32"/>
          <w:szCs w:val="32"/>
        </w:rPr>
      </w:pPr>
    </w:p>
    <w:p>
      <w:pPr>
        <w:spacing w:line="500" w:lineRule="exact"/>
        <w:jc w:val="center"/>
        <w:rPr>
          <w:rFonts w:ascii="方正小标宋简体" w:hAnsi="仿宋" w:eastAsia="方正小标宋简体"/>
          <w:sz w:val="44"/>
          <w:szCs w:val="32"/>
        </w:rPr>
      </w:pPr>
      <w:r>
        <w:rPr>
          <w:rFonts w:hint="eastAsia" w:ascii="方正小标宋简体" w:hAnsi="仿宋" w:eastAsia="方正小标宋简体"/>
          <w:sz w:val="44"/>
          <w:szCs w:val="32"/>
        </w:rPr>
        <w:t>中医药传承与创新“百千万”人才工程</w:t>
      </w:r>
    </w:p>
    <w:p>
      <w:pPr>
        <w:spacing w:line="500" w:lineRule="exact"/>
        <w:jc w:val="center"/>
        <w:rPr>
          <w:rFonts w:ascii="方正小标宋简体" w:hAnsi="仿宋" w:eastAsia="方正小标宋简体"/>
          <w:sz w:val="44"/>
          <w:szCs w:val="32"/>
        </w:rPr>
      </w:pPr>
      <w:r>
        <w:rPr>
          <w:rFonts w:hint="eastAsia" w:ascii="方正小标宋简体" w:hAnsi="仿宋" w:eastAsia="方正小标宋简体"/>
          <w:sz w:val="44"/>
          <w:szCs w:val="32"/>
        </w:rPr>
        <w:t>（岐黄工程）资金管理暂行办法</w:t>
      </w:r>
    </w:p>
    <w:p>
      <w:pPr>
        <w:widowControl/>
        <w:spacing w:line="600" w:lineRule="exact"/>
        <w:jc w:val="center"/>
        <w:rPr>
          <w:rFonts w:ascii="黑体" w:hAnsi="黑体" w:eastAsia="黑体" w:cs="Arial"/>
          <w:color w:val="000000"/>
          <w:kern w:val="0"/>
          <w:sz w:val="32"/>
          <w:szCs w:val="32"/>
        </w:rPr>
      </w:pPr>
    </w:p>
    <w:p>
      <w:pPr>
        <w:spacing w:line="580" w:lineRule="exact"/>
        <w:jc w:val="center"/>
        <w:rPr>
          <w:rFonts w:ascii="黑体" w:hAnsi="黑体" w:eastAsia="黑体"/>
          <w:sz w:val="32"/>
          <w:szCs w:val="32"/>
        </w:rPr>
      </w:pPr>
      <w:r>
        <w:rPr>
          <w:rFonts w:hint="eastAsia" w:ascii="黑体" w:hAnsi="黑体" w:eastAsia="黑体"/>
          <w:sz w:val="32"/>
          <w:szCs w:val="32"/>
        </w:rPr>
        <w:t>第一章</w:t>
      </w:r>
      <w:r>
        <w:rPr>
          <w:rFonts w:hint="eastAsia" w:ascii="宋体" w:hAnsi="宋体" w:cs="宋体"/>
          <w:sz w:val="32"/>
          <w:szCs w:val="32"/>
        </w:rPr>
        <w:t> </w:t>
      </w:r>
      <w:r>
        <w:rPr>
          <w:rFonts w:hint="eastAsia" w:ascii="黑体" w:hAnsi="黑体" w:eastAsia="黑体"/>
          <w:sz w:val="32"/>
          <w:szCs w:val="32"/>
        </w:rPr>
        <w:t>总</w:t>
      </w:r>
      <w:r>
        <w:rPr>
          <w:rFonts w:hint="eastAsia" w:ascii="宋体" w:hAnsi="宋体" w:cs="宋体"/>
          <w:sz w:val="32"/>
          <w:szCs w:val="32"/>
        </w:rPr>
        <w:t> </w:t>
      </w:r>
      <w:r>
        <w:rPr>
          <w:rFonts w:hint="eastAsia" w:ascii="黑体" w:hAnsi="黑体" w:eastAsia="黑体"/>
          <w:sz w:val="32"/>
          <w:szCs w:val="32"/>
        </w:rPr>
        <w:t>则</w:t>
      </w:r>
    </w:p>
    <w:p>
      <w:pPr>
        <w:spacing w:line="580" w:lineRule="exact"/>
        <w:ind w:firstLine="640" w:firstLineChars="200"/>
        <w:rPr>
          <w:rFonts w:ascii="仿宋_GB2312" w:hAnsi="Calibri" w:eastAsia="仿宋_GB2312" w:cs="黑体"/>
          <w:sz w:val="32"/>
          <w:szCs w:val="32"/>
        </w:rPr>
      </w:pPr>
      <w:r>
        <w:rPr>
          <w:rFonts w:hint="eastAsia" w:ascii="黑体" w:hAnsi="Calibri" w:eastAsia="黑体"/>
          <w:sz w:val="32"/>
          <w:szCs w:val="32"/>
        </w:rPr>
        <w:t xml:space="preserve">第一条  </w:t>
      </w:r>
      <w:r>
        <w:rPr>
          <w:rFonts w:hint="eastAsia" w:ascii="仿宋_GB2312" w:hAnsi="Calibri" w:eastAsia="仿宋_GB2312"/>
          <w:sz w:val="32"/>
          <w:szCs w:val="32"/>
        </w:rPr>
        <w:t>为规范和加强中央财政中医药传承与创新“百千万”人才工程（岐黄工程，以下简称“工程”）资金（以下简称“资金”）管理，提高资金使用的安全性和有效性，根据有关法律法规和财政部专项资金管理规定，制定本办法。</w:t>
      </w:r>
    </w:p>
    <w:p>
      <w:pPr>
        <w:spacing w:line="580" w:lineRule="exact"/>
        <w:ind w:firstLine="640" w:firstLineChars="200"/>
        <w:rPr>
          <w:rFonts w:ascii="仿宋_GB2312" w:hAnsi="Calibri" w:eastAsia="仿宋_GB2312"/>
          <w:sz w:val="32"/>
          <w:szCs w:val="32"/>
        </w:rPr>
      </w:pPr>
      <w:r>
        <w:rPr>
          <w:rFonts w:hint="eastAsia" w:ascii="黑体" w:hAnsi="Calibri" w:eastAsia="黑体"/>
          <w:sz w:val="32"/>
          <w:szCs w:val="32"/>
        </w:rPr>
        <w:t xml:space="preserve">第二条  </w:t>
      </w:r>
      <w:r>
        <w:rPr>
          <w:rFonts w:hint="eastAsia" w:ascii="仿宋_GB2312" w:hAnsi="Calibri" w:eastAsia="仿宋_GB2312"/>
          <w:sz w:val="32"/>
          <w:szCs w:val="32"/>
        </w:rPr>
        <w:t>本办法所称资金，是指中央财政通过中央本级部门预算、中央对地方专项转移支付补助资金安排，用于支持</w:t>
      </w:r>
      <w:r>
        <w:rPr>
          <w:rFonts w:hint="eastAsia" w:ascii="仿宋_GB2312" w:hAnsi="Calibri" w:eastAsia="仿宋_GB2312"/>
          <w:color w:val="000000"/>
          <w:sz w:val="32"/>
          <w:szCs w:val="32"/>
        </w:rPr>
        <w:t>领军人才、优秀人才和骨干人才（以下简称“支持对象”）、人才培养平台建设（以下简称“平台建设”）等内容，</w:t>
      </w:r>
      <w:r>
        <w:rPr>
          <w:rFonts w:hint="eastAsia" w:ascii="仿宋_GB2312" w:hAnsi="Calibri" w:eastAsia="仿宋_GB2312"/>
          <w:sz w:val="32"/>
          <w:szCs w:val="32"/>
        </w:rPr>
        <w:t>按照支持对象和平台建设数量、资金额度及评价结果等因素分配的财政资金。</w:t>
      </w:r>
    </w:p>
    <w:p>
      <w:pPr>
        <w:spacing w:line="580" w:lineRule="exact"/>
        <w:ind w:firstLine="640" w:firstLineChars="200"/>
        <w:rPr>
          <w:rFonts w:ascii="仿宋_GB2312" w:hAnsi="Calibri" w:eastAsia="仿宋_GB2312"/>
          <w:sz w:val="32"/>
          <w:szCs w:val="32"/>
        </w:rPr>
      </w:pPr>
      <w:r>
        <w:rPr>
          <w:rFonts w:hint="eastAsia" w:ascii="黑体" w:hAnsi="Calibri" w:eastAsia="黑体"/>
          <w:sz w:val="32"/>
          <w:szCs w:val="32"/>
        </w:rPr>
        <w:t xml:space="preserve">第三条  </w:t>
      </w:r>
      <w:r>
        <w:rPr>
          <w:rFonts w:hint="eastAsia" w:ascii="仿宋_GB2312" w:hAnsi="Calibri" w:eastAsia="仿宋_GB2312"/>
          <w:sz w:val="32"/>
          <w:szCs w:val="32"/>
        </w:rPr>
        <w:t>工程支持对象、平台建设的遴选和审核、资金管理由国家中医药管理局负责。</w:t>
      </w:r>
    </w:p>
    <w:p>
      <w:pPr>
        <w:spacing w:line="580" w:lineRule="exact"/>
        <w:ind w:firstLine="640" w:firstLineChars="200"/>
        <w:rPr>
          <w:rFonts w:ascii="仿宋_GB2312" w:hAnsi="Calibri" w:eastAsia="仿宋_GB2312"/>
          <w:sz w:val="32"/>
          <w:szCs w:val="32"/>
        </w:rPr>
      </w:pPr>
      <w:r>
        <w:rPr>
          <w:rFonts w:hint="eastAsia" w:ascii="黑体" w:hAnsi="Calibri" w:eastAsia="黑体"/>
          <w:sz w:val="32"/>
          <w:szCs w:val="32"/>
        </w:rPr>
        <w:t xml:space="preserve">第四条  </w:t>
      </w:r>
      <w:r>
        <w:rPr>
          <w:rFonts w:hint="eastAsia" w:ascii="仿宋_GB2312" w:hAnsi="Calibri" w:eastAsia="仿宋_GB2312"/>
          <w:sz w:val="32"/>
          <w:szCs w:val="32"/>
        </w:rPr>
        <w:t>各级中医药主管部门负责业务指导和工程管理，会同财政部门建立健全绩效评价机制，并对工程进展情况开展绩效评价。</w:t>
      </w:r>
    </w:p>
    <w:p>
      <w:pPr>
        <w:spacing w:line="580" w:lineRule="exact"/>
        <w:ind w:firstLine="640" w:firstLineChars="200"/>
        <w:rPr>
          <w:rFonts w:ascii="仿宋_GB2312" w:hAnsi="Calibri" w:eastAsia="仿宋_GB2312"/>
          <w:sz w:val="32"/>
          <w:szCs w:val="32"/>
        </w:rPr>
      </w:pPr>
    </w:p>
    <w:p>
      <w:pPr>
        <w:spacing w:line="580" w:lineRule="exact"/>
        <w:jc w:val="center"/>
        <w:rPr>
          <w:rFonts w:ascii="黑体" w:hAnsi="黑体" w:eastAsia="黑体"/>
          <w:sz w:val="32"/>
          <w:szCs w:val="32"/>
        </w:rPr>
      </w:pPr>
      <w:r>
        <w:rPr>
          <w:rFonts w:hint="eastAsia" w:ascii="黑体" w:hAnsi="黑体" w:eastAsia="黑体"/>
          <w:sz w:val="32"/>
          <w:szCs w:val="32"/>
        </w:rPr>
        <w:t>第二章</w:t>
      </w:r>
      <w:r>
        <w:rPr>
          <w:rFonts w:hint="eastAsia" w:ascii="宋体" w:hAnsi="宋体" w:cs="宋体"/>
          <w:sz w:val="32"/>
          <w:szCs w:val="32"/>
        </w:rPr>
        <w:t> </w:t>
      </w:r>
      <w:r>
        <w:rPr>
          <w:rFonts w:hint="eastAsia" w:ascii="黑体" w:hAnsi="黑体" w:eastAsia="黑体"/>
          <w:sz w:val="32"/>
          <w:szCs w:val="32"/>
        </w:rPr>
        <w:t>管理原则</w:t>
      </w:r>
    </w:p>
    <w:p>
      <w:pPr>
        <w:spacing w:line="580" w:lineRule="exact"/>
        <w:ind w:firstLine="640" w:firstLineChars="200"/>
        <w:rPr>
          <w:rFonts w:ascii="仿宋_GB2312" w:hAnsi="Calibri" w:eastAsia="仿宋_GB2312" w:cs="黑体"/>
          <w:sz w:val="32"/>
          <w:szCs w:val="32"/>
        </w:rPr>
      </w:pPr>
      <w:r>
        <w:rPr>
          <w:rFonts w:hint="eastAsia" w:ascii="黑体" w:hAnsi="Calibri" w:eastAsia="黑体"/>
          <w:sz w:val="32"/>
          <w:szCs w:val="32"/>
        </w:rPr>
        <w:t xml:space="preserve">第五条  </w:t>
      </w:r>
      <w:r>
        <w:rPr>
          <w:rFonts w:hint="eastAsia" w:ascii="仿宋_GB2312" w:hAnsi="Calibri" w:eastAsia="仿宋_GB2312"/>
          <w:sz w:val="32"/>
          <w:szCs w:val="32"/>
        </w:rPr>
        <w:t>资金管理原则主要有：</w:t>
      </w:r>
    </w:p>
    <w:p>
      <w:pPr>
        <w:spacing w:line="580" w:lineRule="exact"/>
        <w:ind w:firstLine="640" w:firstLineChars="200"/>
        <w:rPr>
          <w:rFonts w:ascii="仿宋_GB2312" w:hAnsi="Calibri" w:eastAsia="仿宋_GB2312"/>
          <w:sz w:val="32"/>
          <w:szCs w:val="32"/>
        </w:rPr>
      </w:pPr>
      <w:r>
        <w:rPr>
          <w:rFonts w:hint="eastAsia" w:ascii="仿宋_GB2312" w:hAnsi="Calibri" w:eastAsia="仿宋_GB2312"/>
          <w:sz w:val="32"/>
          <w:szCs w:val="32"/>
        </w:rPr>
        <w:t>（一）合理规划，科学论证。按照《中医药传承与创新“百千万”人才工程（岐黄工程）实施方案》及相关要求，合理确定资金使用方向，对合理性、可行性等进行科学论证。</w:t>
      </w:r>
    </w:p>
    <w:p>
      <w:pPr>
        <w:spacing w:line="580" w:lineRule="exact"/>
        <w:ind w:firstLine="640" w:firstLineChars="200"/>
        <w:rPr>
          <w:rFonts w:ascii="仿宋_GB2312" w:hAnsi="Calibri" w:eastAsia="仿宋_GB2312"/>
          <w:sz w:val="32"/>
          <w:szCs w:val="32"/>
        </w:rPr>
      </w:pPr>
      <w:r>
        <w:rPr>
          <w:rFonts w:hint="eastAsia" w:ascii="仿宋_GB2312" w:hAnsi="Calibri" w:eastAsia="仿宋_GB2312"/>
          <w:sz w:val="32"/>
          <w:szCs w:val="32"/>
        </w:rPr>
        <w:t>（二）统筹分配，保障重点。统筹考虑中医药高层次人才培养工作需要，合理安排资金预算，结合财政部预算评审中心的评审结果统筹使用项目资金。</w:t>
      </w:r>
    </w:p>
    <w:p>
      <w:pPr>
        <w:snapToGrid w:val="0"/>
        <w:spacing w:line="580" w:lineRule="exact"/>
        <w:ind w:firstLine="672" w:firstLineChars="210"/>
        <w:rPr>
          <w:rFonts w:ascii="仿宋_GB2312" w:hAnsi="Calibri" w:eastAsia="仿宋_GB2312"/>
          <w:color w:val="000000"/>
          <w:sz w:val="32"/>
          <w:szCs w:val="32"/>
        </w:rPr>
      </w:pPr>
      <w:r>
        <w:rPr>
          <w:rFonts w:hint="eastAsia" w:ascii="仿宋_GB2312" w:hAnsi="Calibri" w:eastAsia="仿宋_GB2312"/>
          <w:sz w:val="32"/>
          <w:szCs w:val="32"/>
        </w:rPr>
        <w:t>（三）单独核算，专款专用。明确相关主体的权利责任，</w:t>
      </w:r>
      <w:r>
        <w:rPr>
          <w:rFonts w:hint="eastAsia" w:ascii="仿宋_GB2312" w:hAnsi="Calibri" w:eastAsia="仿宋_GB2312"/>
          <w:color w:val="000000"/>
          <w:sz w:val="32"/>
          <w:szCs w:val="32"/>
        </w:rPr>
        <w:t>纳入承担单位预算统一管理，单独核算，确保专款专用。预算一般不作调整，确有必要调整时，按预算调整规定程序报批。</w:t>
      </w:r>
    </w:p>
    <w:p>
      <w:pPr>
        <w:spacing w:line="580" w:lineRule="exact"/>
        <w:ind w:firstLine="640" w:firstLineChars="200"/>
        <w:rPr>
          <w:rFonts w:ascii="仿宋_GB2312" w:hAnsi="Calibri" w:eastAsia="仿宋_GB2312"/>
          <w:sz w:val="32"/>
          <w:szCs w:val="32"/>
        </w:rPr>
      </w:pPr>
      <w:r>
        <w:rPr>
          <w:rFonts w:hint="eastAsia" w:ascii="仿宋_GB2312" w:hAnsi="Calibri" w:eastAsia="仿宋_GB2312"/>
          <w:sz w:val="32"/>
          <w:szCs w:val="32"/>
        </w:rPr>
        <w:t>（四）绩效评价，量效挂钩。强化对资金使用情况的绩效管理，建立绩效评价情况与资金安排挂钩机制，</w:t>
      </w:r>
      <w:r>
        <w:rPr>
          <w:rFonts w:hint="eastAsia" w:ascii="仿宋_GB2312" w:hAnsi="Calibri" w:eastAsia="仿宋_GB2312"/>
          <w:color w:val="000000"/>
          <w:sz w:val="32"/>
          <w:szCs w:val="32"/>
        </w:rPr>
        <w:t>建立面向结果的追踪问责机制，</w:t>
      </w:r>
      <w:r>
        <w:rPr>
          <w:rFonts w:hint="eastAsia" w:ascii="仿宋_GB2312" w:hAnsi="Calibri" w:eastAsia="仿宋_GB2312"/>
          <w:sz w:val="32"/>
          <w:szCs w:val="32"/>
        </w:rPr>
        <w:t>提高资金使用效益。</w:t>
      </w:r>
    </w:p>
    <w:p>
      <w:pPr>
        <w:spacing w:line="580" w:lineRule="exact"/>
        <w:ind w:firstLine="640" w:firstLineChars="200"/>
        <w:rPr>
          <w:rFonts w:ascii="仿宋_GB2312" w:hAnsi="Calibri" w:eastAsia="仿宋_GB2312"/>
          <w:sz w:val="32"/>
          <w:szCs w:val="32"/>
        </w:rPr>
      </w:pPr>
    </w:p>
    <w:p>
      <w:pPr>
        <w:spacing w:line="580" w:lineRule="exact"/>
        <w:jc w:val="center"/>
        <w:rPr>
          <w:rFonts w:ascii="黑体" w:hAnsi="黑体" w:eastAsia="黑体"/>
          <w:sz w:val="32"/>
          <w:szCs w:val="32"/>
        </w:rPr>
      </w:pPr>
      <w:r>
        <w:rPr>
          <w:rFonts w:hint="eastAsia" w:ascii="黑体" w:hAnsi="黑体" w:eastAsia="黑体"/>
          <w:sz w:val="32"/>
          <w:szCs w:val="32"/>
        </w:rPr>
        <w:t>第三章</w:t>
      </w:r>
      <w:r>
        <w:rPr>
          <w:rFonts w:hint="eastAsia" w:ascii="宋体" w:hAnsi="宋体" w:cs="宋体"/>
          <w:sz w:val="32"/>
          <w:szCs w:val="32"/>
        </w:rPr>
        <w:t> </w:t>
      </w:r>
      <w:r>
        <w:rPr>
          <w:rFonts w:hint="eastAsia" w:ascii="黑体" w:hAnsi="黑体" w:eastAsia="黑体"/>
          <w:sz w:val="32"/>
          <w:szCs w:val="32"/>
        </w:rPr>
        <w:t>预算与资金管理</w:t>
      </w:r>
    </w:p>
    <w:p>
      <w:pPr>
        <w:snapToGrid w:val="0"/>
        <w:spacing w:line="580" w:lineRule="exact"/>
        <w:ind w:firstLine="643"/>
        <w:rPr>
          <w:rFonts w:ascii="仿宋_GB2312" w:hAnsi="Calibri" w:eastAsia="仿宋_GB2312" w:cs="黑体"/>
          <w:sz w:val="32"/>
          <w:szCs w:val="32"/>
        </w:rPr>
      </w:pPr>
      <w:r>
        <w:rPr>
          <w:rFonts w:hint="eastAsia" w:ascii="黑体" w:hAnsi="Calibri" w:eastAsia="黑体"/>
          <w:sz w:val="32"/>
          <w:szCs w:val="32"/>
        </w:rPr>
        <w:t xml:space="preserve">第六条  </w:t>
      </w:r>
      <w:r>
        <w:rPr>
          <w:rFonts w:hint="eastAsia" w:ascii="仿宋_GB2312" w:hAnsi="Calibri" w:eastAsia="仿宋_GB2312"/>
          <w:sz w:val="32"/>
          <w:szCs w:val="32"/>
        </w:rPr>
        <w:t xml:space="preserve">预算申报审核程序： </w:t>
      </w:r>
    </w:p>
    <w:p>
      <w:pPr>
        <w:snapToGrid w:val="0"/>
        <w:spacing w:line="580" w:lineRule="exact"/>
        <w:ind w:firstLine="640"/>
        <w:rPr>
          <w:rFonts w:ascii="仿宋_GB2312" w:hAnsi="Calibri" w:eastAsia="仿宋_GB2312"/>
          <w:color w:val="000000"/>
          <w:sz w:val="32"/>
          <w:szCs w:val="32"/>
        </w:rPr>
      </w:pPr>
      <w:r>
        <w:rPr>
          <w:rFonts w:hint="eastAsia" w:ascii="仿宋_GB2312" w:hAnsi="Calibri" w:eastAsia="仿宋_GB2312"/>
          <w:sz w:val="32"/>
          <w:szCs w:val="32"/>
        </w:rPr>
        <w:t>（一）</w:t>
      </w:r>
      <w:r>
        <w:rPr>
          <w:rFonts w:hint="eastAsia" w:ascii="仿宋_GB2312" w:hAnsi="Calibri" w:eastAsia="仿宋_GB2312"/>
          <w:color w:val="000000"/>
          <w:sz w:val="32"/>
          <w:szCs w:val="32"/>
        </w:rPr>
        <w:t>国家中医药管理局按照工程实施要求，制定各类支持对象、平台建设遴选条件和支持培养、建设方案（另文下发）。</w:t>
      </w:r>
    </w:p>
    <w:p>
      <w:pPr>
        <w:snapToGrid w:val="0"/>
        <w:spacing w:line="580" w:lineRule="exact"/>
        <w:ind w:firstLine="640"/>
        <w:rPr>
          <w:rFonts w:ascii="仿宋_GB2312" w:hAnsi="Calibri" w:eastAsia="仿宋_GB2312"/>
          <w:sz w:val="32"/>
          <w:szCs w:val="32"/>
        </w:rPr>
      </w:pPr>
      <w:r>
        <w:rPr>
          <w:rFonts w:hint="eastAsia" w:ascii="仿宋_GB2312" w:hAnsi="Calibri" w:eastAsia="仿宋_GB2312"/>
          <w:sz w:val="32"/>
          <w:szCs w:val="32"/>
        </w:rPr>
        <w:t xml:space="preserve">（二）支持对象、平台建设负责人按照支持培养、建设任务要求和资金补助额度编制相应的《任务书》和使用计划，向国家中医药管理局申报。 </w:t>
      </w:r>
    </w:p>
    <w:p>
      <w:pPr>
        <w:snapToGrid w:val="0"/>
        <w:spacing w:line="580" w:lineRule="exact"/>
        <w:ind w:firstLine="640"/>
        <w:rPr>
          <w:rFonts w:ascii="仿宋_GB2312" w:hAnsi="Calibri" w:eastAsia="仿宋_GB2312"/>
          <w:sz w:val="32"/>
          <w:szCs w:val="32"/>
        </w:rPr>
      </w:pPr>
      <w:r>
        <w:rPr>
          <w:rFonts w:hint="eastAsia" w:ascii="仿宋_GB2312" w:hAnsi="Calibri" w:eastAsia="仿宋_GB2312"/>
          <w:sz w:val="32"/>
          <w:szCs w:val="32"/>
        </w:rPr>
        <w:t>（三）国家中医药管理局组织专家对入选支持对象、平台建设使用计划进行审核。</w:t>
      </w:r>
    </w:p>
    <w:p>
      <w:pPr>
        <w:widowControl/>
        <w:spacing w:line="580" w:lineRule="exact"/>
        <w:ind w:firstLine="640" w:firstLineChars="200"/>
        <w:rPr>
          <w:rFonts w:ascii="黑体" w:hAnsi="黑体" w:eastAsia="黑体" w:cs="Arial"/>
          <w:color w:val="000000"/>
          <w:kern w:val="0"/>
          <w:sz w:val="32"/>
          <w:szCs w:val="32"/>
        </w:rPr>
      </w:pPr>
      <w:r>
        <w:rPr>
          <w:rFonts w:hint="eastAsia" w:ascii="黑体" w:hAnsi="Calibri" w:eastAsia="黑体"/>
          <w:sz w:val="32"/>
          <w:szCs w:val="32"/>
        </w:rPr>
        <w:t xml:space="preserve">第七条  </w:t>
      </w:r>
      <w:r>
        <w:rPr>
          <w:rFonts w:hint="eastAsia" w:ascii="仿宋_GB2312" w:hAnsi="Calibri" w:eastAsia="仿宋_GB2312"/>
          <w:sz w:val="32"/>
          <w:szCs w:val="32"/>
        </w:rPr>
        <w:t>根据政府收支分类科目及国家财经法规制度，结合工程的性质，资金使用范围如下：</w:t>
      </w:r>
    </w:p>
    <w:p>
      <w:pPr>
        <w:adjustRightInd w:val="0"/>
        <w:snapToGrid w:val="0"/>
        <w:spacing w:line="580" w:lineRule="exact"/>
        <w:ind w:firstLine="640" w:firstLineChars="200"/>
        <w:rPr>
          <w:rFonts w:ascii="仿宋_GB2312" w:hAnsi="Calibri" w:eastAsia="仿宋_GB2312" w:cs="黑体"/>
          <w:sz w:val="32"/>
          <w:szCs w:val="32"/>
        </w:rPr>
      </w:pPr>
      <w:r>
        <w:rPr>
          <w:rFonts w:hint="eastAsia" w:ascii="仿宋_GB2312" w:hAnsi="Calibri" w:eastAsia="仿宋_GB2312"/>
          <w:sz w:val="32"/>
          <w:szCs w:val="32"/>
        </w:rPr>
        <w:t>（一）培训费：支持对象根据具体实施方案要求开展相关培训学习产生的费用，</w:t>
      </w:r>
      <w:r>
        <w:rPr>
          <w:rFonts w:hint="eastAsia" w:ascii="仿宋_GB2312" w:hAnsi="Calibri" w:eastAsia="仿宋_GB2312"/>
          <w:color w:val="000000"/>
          <w:sz w:val="32"/>
          <w:szCs w:val="32"/>
        </w:rPr>
        <w:t>包括住宿费、伙食费、培训场地费、讲课费、国内外学术交流费、师承费、培训资料费及其他费用。培训费的开支标准参照《中央和国家机关培训费管理办法》执行。</w:t>
      </w:r>
    </w:p>
    <w:p>
      <w:pPr>
        <w:snapToGrid w:val="0"/>
        <w:spacing w:line="580" w:lineRule="exact"/>
        <w:ind w:firstLine="648" w:firstLineChars="200"/>
        <w:rPr>
          <w:rFonts w:ascii="仿宋_GB2312" w:hAnsi="Calibri" w:eastAsia="仿宋_GB2312"/>
          <w:color w:val="000000"/>
          <w:spacing w:val="2"/>
          <w:sz w:val="32"/>
          <w:szCs w:val="32"/>
        </w:rPr>
      </w:pPr>
      <w:r>
        <w:rPr>
          <w:rFonts w:hint="eastAsia" w:ascii="仿宋_GB2312" w:hAnsi="Calibri" w:eastAsia="仿宋_GB2312"/>
          <w:color w:val="000000"/>
          <w:spacing w:val="2"/>
          <w:sz w:val="32"/>
          <w:szCs w:val="32"/>
        </w:rPr>
        <w:t>（二）咨询费：执行过程中支付给临时聘请的咨询专家的费用。专家咨询费不得支付给参与工程人员、工程管理相关的由财政安排工资的工作人员。咨询费的开支标准参照国家有关标准执行。</w:t>
      </w:r>
    </w:p>
    <w:p>
      <w:pPr>
        <w:snapToGrid w:val="0"/>
        <w:spacing w:line="580" w:lineRule="exact"/>
        <w:ind w:firstLine="641"/>
        <w:rPr>
          <w:rFonts w:ascii="仿宋_GB2312" w:hAnsi="Calibri" w:eastAsia="仿宋_GB2312"/>
          <w:color w:val="000000"/>
          <w:sz w:val="32"/>
          <w:szCs w:val="32"/>
        </w:rPr>
      </w:pPr>
      <w:r>
        <w:rPr>
          <w:rFonts w:hint="eastAsia" w:ascii="仿宋_GB2312" w:hAnsi="Calibri" w:eastAsia="仿宋_GB2312"/>
          <w:sz w:val="32"/>
          <w:szCs w:val="32"/>
        </w:rPr>
        <w:t>（三）差旅费：学习活动工作中产生的外埠及市内交通费、住宿费用。</w:t>
      </w:r>
      <w:r>
        <w:rPr>
          <w:rFonts w:hint="eastAsia" w:ascii="仿宋_GB2312" w:hAnsi="Calibri" w:eastAsia="仿宋_GB2312"/>
          <w:color w:val="000000"/>
          <w:sz w:val="32"/>
          <w:szCs w:val="32"/>
        </w:rPr>
        <w:t>差旅费的开支标准参照《中央和国家机关差旅费管理办法》执行。</w:t>
      </w:r>
    </w:p>
    <w:p>
      <w:pPr>
        <w:adjustRightInd w:val="0"/>
        <w:snapToGrid w:val="0"/>
        <w:spacing w:line="580" w:lineRule="exact"/>
        <w:ind w:firstLine="640" w:firstLineChars="200"/>
        <w:rPr>
          <w:rFonts w:ascii="仿宋_GB2312" w:hAnsi="Calibri" w:eastAsia="仿宋_GB2312"/>
          <w:sz w:val="32"/>
          <w:szCs w:val="32"/>
        </w:rPr>
      </w:pPr>
      <w:r>
        <w:rPr>
          <w:rFonts w:hint="eastAsia" w:ascii="仿宋_GB2312" w:hAnsi="Calibri" w:eastAsia="仿宋_GB2312"/>
          <w:sz w:val="32"/>
          <w:szCs w:val="32"/>
        </w:rPr>
        <w:t>（四）出版/文献/信息传播/知识产权事务费：列支出版费、资料费、专用软件购置费、文献检索费、专业通信费、专利申请及其他知识产权事务等费用。</w:t>
      </w:r>
    </w:p>
    <w:p>
      <w:pPr>
        <w:adjustRightInd w:val="0"/>
        <w:snapToGrid w:val="0"/>
        <w:spacing w:line="580" w:lineRule="exact"/>
        <w:ind w:firstLine="640" w:firstLineChars="200"/>
        <w:rPr>
          <w:rFonts w:ascii="仿宋_GB2312" w:hAnsi="Calibri" w:eastAsia="仿宋_GB2312"/>
          <w:color w:val="000000"/>
          <w:sz w:val="32"/>
          <w:szCs w:val="32"/>
        </w:rPr>
      </w:pPr>
      <w:r>
        <w:rPr>
          <w:rFonts w:hint="eastAsia" w:ascii="仿宋_GB2312" w:hAnsi="Calibri" w:eastAsia="仿宋_GB2312"/>
          <w:sz w:val="32"/>
          <w:szCs w:val="32"/>
        </w:rPr>
        <w:t>（五）适应性改造支出：为使工作室、人才培养基地发挥作用，购置、修理、升级必要的设施设备与改造相关建筑使之适应新用途等所产生的费用。</w:t>
      </w:r>
    </w:p>
    <w:p>
      <w:pPr>
        <w:adjustRightInd w:val="0"/>
        <w:snapToGrid w:val="0"/>
        <w:spacing w:line="580" w:lineRule="exact"/>
        <w:ind w:firstLine="640" w:firstLineChars="200"/>
        <w:rPr>
          <w:rFonts w:ascii="仿宋_GB2312" w:hAnsi="Calibri" w:eastAsia="仿宋_GB2312"/>
          <w:sz w:val="32"/>
          <w:szCs w:val="32"/>
        </w:rPr>
      </w:pPr>
      <w:r>
        <w:rPr>
          <w:rFonts w:hint="eastAsia" w:ascii="仿宋_GB2312" w:hAnsi="Calibri" w:eastAsia="仿宋_GB2312"/>
          <w:sz w:val="32"/>
          <w:szCs w:val="32"/>
        </w:rPr>
        <w:t>（六）劳务费：</w:t>
      </w:r>
      <w:r>
        <w:rPr>
          <w:rFonts w:hint="eastAsia" w:ascii="仿宋_GB2312" w:hAnsi="Calibri" w:eastAsia="仿宋_GB2312"/>
          <w:color w:val="000000"/>
          <w:sz w:val="32"/>
          <w:szCs w:val="32"/>
        </w:rPr>
        <w:t>执行过程中支付给参与工程但没有工资性收入的相关人员（如在校研究生）和临时聘用人员等的劳务性费用，其开支标准参照当地相关技术从业人员平均工资水平，根据其承担的工作任务确定。</w:t>
      </w:r>
    </w:p>
    <w:p>
      <w:pPr>
        <w:snapToGrid w:val="0"/>
        <w:spacing w:line="580" w:lineRule="exact"/>
        <w:ind w:firstLine="640" w:firstLineChars="200"/>
        <w:rPr>
          <w:rFonts w:ascii="仿宋_GB2312" w:hAnsi="Calibri" w:eastAsia="仿宋_GB2312"/>
          <w:color w:val="000000"/>
          <w:sz w:val="32"/>
          <w:szCs w:val="32"/>
        </w:rPr>
      </w:pPr>
      <w:r>
        <w:rPr>
          <w:rFonts w:hint="eastAsia" w:ascii="仿宋_GB2312" w:hAnsi="Calibri" w:eastAsia="仿宋_GB2312"/>
          <w:color w:val="000000"/>
          <w:sz w:val="32"/>
          <w:szCs w:val="32"/>
        </w:rPr>
        <w:t>（七）委托业务费：工程执行过程中委托第三方单位开展的业务费用。</w:t>
      </w:r>
    </w:p>
    <w:p>
      <w:pPr>
        <w:adjustRightInd w:val="0"/>
        <w:snapToGrid w:val="0"/>
        <w:spacing w:line="580" w:lineRule="exact"/>
        <w:ind w:firstLine="640" w:firstLineChars="200"/>
        <w:rPr>
          <w:rFonts w:ascii="仿宋_GB2312" w:hAnsi="Calibri" w:eastAsia="仿宋_GB2312"/>
          <w:sz w:val="32"/>
          <w:szCs w:val="32"/>
        </w:rPr>
      </w:pPr>
      <w:r>
        <w:rPr>
          <w:rFonts w:hint="eastAsia" w:ascii="仿宋_GB2312" w:hAnsi="Calibri" w:eastAsia="仿宋_GB2312"/>
          <w:sz w:val="32"/>
          <w:szCs w:val="32"/>
        </w:rPr>
        <w:t>（八）其他支出：在工程实施过程中确需发生的其他费用，须提供详细说明，并报国家中医药管理局审核同意后方可列支。</w:t>
      </w:r>
    </w:p>
    <w:p>
      <w:pPr>
        <w:adjustRightInd w:val="0"/>
        <w:snapToGrid w:val="0"/>
        <w:spacing w:line="580" w:lineRule="exact"/>
        <w:ind w:firstLine="640" w:firstLineChars="200"/>
        <w:rPr>
          <w:rFonts w:ascii="仿宋_GB2312" w:hAnsi="Calibri" w:eastAsia="仿宋_GB2312"/>
          <w:sz w:val="32"/>
          <w:szCs w:val="32"/>
        </w:rPr>
      </w:pPr>
      <w:r>
        <w:rPr>
          <w:rFonts w:hint="eastAsia" w:ascii="黑体" w:hAnsi="Calibri" w:eastAsia="黑体"/>
          <w:sz w:val="32"/>
          <w:szCs w:val="32"/>
        </w:rPr>
        <w:t xml:space="preserve">第八条  </w:t>
      </w:r>
      <w:r>
        <w:rPr>
          <w:rFonts w:hint="eastAsia" w:ascii="仿宋_GB2312" w:hAnsi="Calibri" w:eastAsia="仿宋_GB2312"/>
          <w:sz w:val="32"/>
          <w:szCs w:val="32"/>
        </w:rPr>
        <w:t>工程承担单位参照上述资金支出范围制定详细的资金使用计划，并严格执行。资金不得用于或变相用于人员经费或公用经费。资金支付按照国库集中支付制度有关规定执行。资金使用过程中，涉及政策采购的，应当按照政府采购有关法律法规及制度执行。使用项目资金购置的设施设备等资产，应严格按照国有资产有关规定管理，避免国有资产流失。</w:t>
      </w:r>
    </w:p>
    <w:p>
      <w:pPr>
        <w:adjustRightInd w:val="0"/>
        <w:snapToGrid w:val="0"/>
        <w:spacing w:line="580" w:lineRule="exact"/>
        <w:ind w:firstLine="640" w:firstLineChars="200"/>
        <w:rPr>
          <w:rFonts w:ascii="仿宋_GB2312" w:hAnsi="Calibri" w:eastAsia="仿宋_GB2312"/>
          <w:sz w:val="32"/>
          <w:szCs w:val="32"/>
        </w:rPr>
      </w:pPr>
      <w:r>
        <w:rPr>
          <w:rFonts w:hint="eastAsia" w:ascii="黑体" w:hAnsi="Calibri" w:eastAsia="黑体"/>
          <w:sz w:val="32"/>
          <w:szCs w:val="32"/>
        </w:rPr>
        <w:t xml:space="preserve">第九条  </w:t>
      </w:r>
      <w:r>
        <w:rPr>
          <w:rFonts w:hint="eastAsia" w:ascii="仿宋_GB2312" w:hAnsi="Calibri" w:eastAsia="仿宋_GB2312"/>
          <w:sz w:val="32"/>
          <w:szCs w:val="32"/>
        </w:rPr>
        <w:t>资金结算一般以银行电汇、转账支票、公务卡方式支付。</w:t>
      </w:r>
    </w:p>
    <w:p>
      <w:pPr>
        <w:spacing w:line="580" w:lineRule="exact"/>
        <w:ind w:firstLine="640" w:firstLineChars="200"/>
        <w:rPr>
          <w:rFonts w:ascii="仿宋_GB2312" w:hAnsi="Calibri" w:eastAsia="仿宋_GB2312"/>
          <w:sz w:val="32"/>
          <w:szCs w:val="32"/>
        </w:rPr>
      </w:pPr>
      <w:r>
        <w:rPr>
          <w:rFonts w:hint="eastAsia" w:ascii="黑体" w:hAnsi="Calibri" w:eastAsia="黑体"/>
          <w:sz w:val="32"/>
          <w:szCs w:val="32"/>
        </w:rPr>
        <w:t xml:space="preserve">第十条  </w:t>
      </w:r>
      <w:r>
        <w:rPr>
          <w:rFonts w:hint="eastAsia" w:ascii="仿宋_GB2312" w:hAnsi="Calibri" w:eastAsia="仿宋_GB2312"/>
          <w:sz w:val="32"/>
          <w:szCs w:val="32"/>
        </w:rPr>
        <w:t>工程承担单位收到资金后，要按预算和国库管理有关规定，建立健全内部管理机制，制定资金管理办法，加快预算执行。</w:t>
      </w:r>
    </w:p>
    <w:p>
      <w:pPr>
        <w:snapToGrid w:val="0"/>
        <w:spacing w:line="580" w:lineRule="exact"/>
        <w:ind w:firstLine="643"/>
        <w:rPr>
          <w:rFonts w:ascii="仿宋_GB2312" w:hAnsi="Calibri" w:eastAsia="仿宋_GB2312"/>
          <w:sz w:val="32"/>
          <w:szCs w:val="32"/>
        </w:rPr>
      </w:pPr>
      <w:r>
        <w:rPr>
          <w:rFonts w:hint="eastAsia" w:ascii="黑体" w:hAnsi="Calibri" w:eastAsia="黑体"/>
          <w:sz w:val="32"/>
          <w:szCs w:val="32"/>
        </w:rPr>
        <w:t>第十一条</w:t>
      </w:r>
      <w:r>
        <w:rPr>
          <w:rFonts w:hint="eastAsia" w:ascii="仿宋_GB2312" w:hAnsi="Calibri" w:eastAsia="仿宋_GB2312"/>
          <w:sz w:val="32"/>
          <w:szCs w:val="32"/>
        </w:rPr>
        <w:t xml:space="preserve">  专项资金管理的各方职责与权限：</w:t>
      </w:r>
    </w:p>
    <w:p>
      <w:pPr>
        <w:snapToGrid w:val="0"/>
        <w:spacing w:line="580" w:lineRule="exact"/>
        <w:ind w:firstLine="640"/>
        <w:rPr>
          <w:rFonts w:ascii="楷体_GB2312" w:hAnsi="Calibri" w:eastAsia="楷体_GB2312"/>
          <w:b/>
          <w:sz w:val="32"/>
          <w:szCs w:val="32"/>
        </w:rPr>
      </w:pPr>
      <w:r>
        <w:rPr>
          <w:rFonts w:hint="eastAsia" w:ascii="楷体_GB2312" w:hAnsi="Calibri" w:eastAsia="楷体_GB2312"/>
          <w:b/>
          <w:sz w:val="32"/>
          <w:szCs w:val="32"/>
        </w:rPr>
        <w:t>（一）国家中医药管理局</w:t>
      </w:r>
    </w:p>
    <w:p>
      <w:pPr>
        <w:snapToGrid w:val="0"/>
        <w:spacing w:line="580" w:lineRule="exact"/>
        <w:ind w:firstLine="640"/>
        <w:rPr>
          <w:rFonts w:ascii="仿宋_GB2312" w:hAnsi="Calibri" w:eastAsia="仿宋_GB2312"/>
          <w:sz w:val="32"/>
          <w:szCs w:val="32"/>
        </w:rPr>
      </w:pPr>
      <w:r>
        <w:rPr>
          <w:rFonts w:hint="eastAsia" w:ascii="仿宋_GB2312" w:hAnsi="Calibri" w:eastAsia="仿宋_GB2312"/>
          <w:sz w:val="32"/>
          <w:szCs w:val="32"/>
        </w:rPr>
        <w:t>1.负责编制年度资金总预算；</w:t>
      </w:r>
    </w:p>
    <w:p>
      <w:pPr>
        <w:snapToGrid w:val="0"/>
        <w:spacing w:line="580" w:lineRule="exact"/>
        <w:ind w:firstLine="640"/>
        <w:rPr>
          <w:rFonts w:ascii="仿宋_GB2312" w:hAnsi="Calibri" w:eastAsia="仿宋_GB2312"/>
          <w:sz w:val="32"/>
          <w:szCs w:val="32"/>
        </w:rPr>
      </w:pPr>
      <w:r>
        <w:rPr>
          <w:rFonts w:hint="eastAsia" w:ascii="仿宋_GB2312" w:hAnsi="Calibri" w:eastAsia="仿宋_GB2312"/>
          <w:sz w:val="32"/>
          <w:szCs w:val="32"/>
        </w:rPr>
        <w:t>2.审核纳入工程的支持对象、平台建设负责人的资金预算；</w:t>
      </w:r>
    </w:p>
    <w:p>
      <w:pPr>
        <w:snapToGrid w:val="0"/>
        <w:spacing w:line="580" w:lineRule="exact"/>
        <w:ind w:firstLine="640"/>
        <w:rPr>
          <w:rFonts w:ascii="仿宋_GB2312" w:hAnsi="Calibri" w:eastAsia="仿宋_GB2312"/>
          <w:sz w:val="32"/>
          <w:szCs w:val="32"/>
        </w:rPr>
      </w:pPr>
      <w:r>
        <w:rPr>
          <w:rFonts w:hint="eastAsia" w:ascii="仿宋_GB2312" w:hAnsi="Calibri" w:eastAsia="仿宋_GB2312"/>
          <w:sz w:val="32"/>
          <w:szCs w:val="32"/>
        </w:rPr>
        <w:t>3.负责审核预算绩效目标；</w:t>
      </w:r>
    </w:p>
    <w:p>
      <w:pPr>
        <w:snapToGrid w:val="0"/>
        <w:spacing w:line="580" w:lineRule="exact"/>
        <w:ind w:firstLine="640"/>
        <w:rPr>
          <w:rFonts w:ascii="仿宋_GB2312" w:hAnsi="Calibri" w:eastAsia="仿宋_GB2312"/>
          <w:sz w:val="32"/>
          <w:szCs w:val="32"/>
        </w:rPr>
      </w:pPr>
      <w:r>
        <w:rPr>
          <w:rFonts w:hint="eastAsia" w:ascii="仿宋_GB2312" w:hAnsi="Calibri" w:eastAsia="仿宋_GB2312"/>
          <w:sz w:val="32"/>
          <w:szCs w:val="32"/>
        </w:rPr>
        <w:t>4.负责管理资金，检查监督资金的管理和使用情况；</w:t>
      </w:r>
    </w:p>
    <w:p>
      <w:pPr>
        <w:snapToGrid w:val="0"/>
        <w:spacing w:line="580" w:lineRule="exact"/>
        <w:ind w:firstLine="640"/>
        <w:rPr>
          <w:rFonts w:ascii="仿宋_GB2312" w:hAnsi="Calibri" w:eastAsia="仿宋_GB2312"/>
          <w:sz w:val="32"/>
          <w:szCs w:val="32"/>
        </w:rPr>
      </w:pPr>
      <w:r>
        <w:rPr>
          <w:rFonts w:hint="eastAsia" w:ascii="仿宋_GB2312" w:hAnsi="Calibri" w:eastAsia="仿宋_GB2312"/>
          <w:sz w:val="32"/>
          <w:szCs w:val="32"/>
        </w:rPr>
        <w:t>5.组织开展绩效考评。</w:t>
      </w:r>
    </w:p>
    <w:p>
      <w:pPr>
        <w:snapToGrid w:val="0"/>
        <w:spacing w:line="580" w:lineRule="exact"/>
        <w:ind w:firstLine="640"/>
        <w:rPr>
          <w:rFonts w:ascii="楷体_GB2312" w:hAnsi="Calibri" w:eastAsia="楷体_GB2312"/>
          <w:b/>
          <w:sz w:val="32"/>
          <w:szCs w:val="32"/>
        </w:rPr>
      </w:pPr>
      <w:r>
        <w:rPr>
          <w:rFonts w:hint="eastAsia" w:ascii="楷体_GB2312" w:hAnsi="Calibri" w:eastAsia="楷体_GB2312"/>
          <w:b/>
          <w:sz w:val="32"/>
          <w:szCs w:val="32"/>
        </w:rPr>
        <w:t>（二）省级中医药主管部门</w:t>
      </w:r>
    </w:p>
    <w:p>
      <w:pPr>
        <w:adjustRightInd w:val="0"/>
        <w:snapToGrid w:val="0"/>
        <w:spacing w:line="580" w:lineRule="exact"/>
        <w:ind w:firstLine="640" w:firstLineChars="200"/>
        <w:rPr>
          <w:rFonts w:ascii="仿宋_GB2312" w:hAnsi="仿宋_GB2312" w:eastAsia="仿宋_GB2312"/>
          <w:sz w:val="32"/>
          <w:szCs w:val="32"/>
        </w:rPr>
      </w:pPr>
      <w:r>
        <w:rPr>
          <w:rFonts w:hint="eastAsia" w:ascii="仿宋_GB2312" w:hAnsi="Calibri" w:eastAsia="仿宋_GB2312"/>
          <w:sz w:val="32"/>
          <w:szCs w:val="32"/>
        </w:rPr>
        <w:t>1.</w:t>
      </w:r>
      <w:r>
        <w:rPr>
          <w:rFonts w:hint="eastAsia" w:ascii="仿宋_GB2312" w:hAnsi="仿宋_GB2312" w:eastAsia="仿宋_GB2312"/>
          <w:sz w:val="32"/>
          <w:szCs w:val="32"/>
        </w:rPr>
        <w:t>负责审核本地区</w:t>
      </w:r>
      <w:r>
        <w:rPr>
          <w:rFonts w:hint="eastAsia" w:ascii="仿宋_GB2312" w:hAnsi="Calibri" w:eastAsia="仿宋_GB2312"/>
          <w:sz w:val="32"/>
          <w:szCs w:val="32"/>
        </w:rPr>
        <w:t>纳入工程的支持对象、平台建设负责人的资金预算；</w:t>
      </w:r>
    </w:p>
    <w:p>
      <w:pPr>
        <w:adjustRightInd w:val="0"/>
        <w:snapToGrid w:val="0"/>
        <w:spacing w:line="58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2.按资金管理的相关规定，指导资金的使用，检查监督资金的使用情况；</w:t>
      </w:r>
    </w:p>
    <w:p>
      <w:pPr>
        <w:adjustRightInd w:val="0"/>
        <w:snapToGrid w:val="0"/>
        <w:spacing w:line="58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3.</w:t>
      </w:r>
      <w:r>
        <w:rPr>
          <w:rFonts w:hint="eastAsia" w:ascii="仿宋_GB2312" w:hAnsi="Calibri" w:eastAsia="仿宋_GB2312"/>
          <w:sz w:val="32"/>
          <w:szCs w:val="32"/>
        </w:rPr>
        <w:t>负责审核本地区预算绩效目标；</w:t>
      </w:r>
    </w:p>
    <w:p>
      <w:pPr>
        <w:adjustRightInd w:val="0"/>
        <w:snapToGrid w:val="0"/>
        <w:spacing w:line="58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4.协调、处理工程实施中出现的问题，提出资金调整、撤销的建议；</w:t>
      </w:r>
    </w:p>
    <w:p>
      <w:pPr>
        <w:adjustRightInd w:val="0"/>
        <w:snapToGrid w:val="0"/>
        <w:spacing w:line="58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5.协助国家中医药管理局进行工程的绩效考评和验收工作。</w:t>
      </w:r>
    </w:p>
    <w:p>
      <w:pPr>
        <w:snapToGrid w:val="0"/>
        <w:spacing w:line="580" w:lineRule="exact"/>
        <w:ind w:firstLine="640"/>
        <w:rPr>
          <w:rFonts w:ascii="楷体_GB2312" w:hAnsi="Calibri" w:eastAsia="楷体_GB2312"/>
          <w:b/>
          <w:sz w:val="32"/>
          <w:szCs w:val="32"/>
        </w:rPr>
      </w:pPr>
      <w:r>
        <w:rPr>
          <w:rFonts w:hint="eastAsia" w:ascii="楷体_GB2312" w:hAnsi="Calibri" w:eastAsia="楷体_GB2312"/>
          <w:b/>
          <w:sz w:val="32"/>
          <w:szCs w:val="32"/>
        </w:rPr>
        <w:t>（三）承担单位</w:t>
      </w:r>
    </w:p>
    <w:p>
      <w:pPr>
        <w:snapToGrid w:val="0"/>
        <w:spacing w:line="580" w:lineRule="exact"/>
        <w:ind w:firstLine="640"/>
        <w:rPr>
          <w:rFonts w:ascii="仿宋_GB2312" w:hAnsi="Calibri" w:eastAsia="仿宋_GB2312"/>
          <w:sz w:val="32"/>
          <w:szCs w:val="32"/>
        </w:rPr>
      </w:pPr>
      <w:r>
        <w:rPr>
          <w:rFonts w:hint="eastAsia" w:ascii="仿宋_GB2312" w:hAnsi="Calibri" w:eastAsia="仿宋_GB2312"/>
          <w:sz w:val="32"/>
          <w:szCs w:val="32"/>
        </w:rPr>
        <w:t xml:space="preserve">1.组织支持对象、平台建设负责人编制本单位资金预算及预算绩效目标； </w:t>
      </w:r>
    </w:p>
    <w:p>
      <w:pPr>
        <w:snapToGrid w:val="0"/>
        <w:spacing w:line="580" w:lineRule="exact"/>
        <w:ind w:firstLine="640"/>
        <w:rPr>
          <w:rFonts w:ascii="仿宋_GB2312" w:hAnsi="Calibri" w:eastAsia="仿宋_GB2312"/>
          <w:sz w:val="32"/>
          <w:szCs w:val="32"/>
        </w:rPr>
      </w:pPr>
      <w:r>
        <w:rPr>
          <w:rFonts w:hint="eastAsia" w:ascii="仿宋_GB2312" w:hAnsi="Calibri" w:eastAsia="仿宋_GB2312"/>
          <w:sz w:val="32"/>
          <w:szCs w:val="32"/>
        </w:rPr>
        <w:t xml:space="preserve">2.负责本单位资金的财务管理和会计核算； </w:t>
      </w:r>
    </w:p>
    <w:p>
      <w:pPr>
        <w:snapToGrid w:val="0"/>
        <w:spacing w:line="580" w:lineRule="exact"/>
        <w:ind w:firstLine="640"/>
        <w:rPr>
          <w:rFonts w:ascii="仿宋_GB2312" w:hAnsi="Calibri" w:eastAsia="仿宋_GB2312"/>
          <w:spacing w:val="-10"/>
          <w:sz w:val="32"/>
          <w:szCs w:val="32"/>
        </w:rPr>
      </w:pPr>
      <w:r>
        <w:rPr>
          <w:rFonts w:hint="eastAsia" w:ascii="仿宋_GB2312" w:hAnsi="Calibri" w:eastAsia="仿宋_GB2312"/>
          <w:spacing w:val="-10"/>
          <w:sz w:val="32"/>
          <w:szCs w:val="32"/>
        </w:rPr>
        <w:t xml:space="preserve">3.监督支持对象、平台建设负责人在其审批权限内的各项支出； </w:t>
      </w:r>
    </w:p>
    <w:p>
      <w:pPr>
        <w:snapToGrid w:val="0"/>
        <w:spacing w:line="580" w:lineRule="exact"/>
        <w:ind w:firstLine="640"/>
        <w:rPr>
          <w:rFonts w:ascii="仿宋_GB2312" w:hAnsi="Calibri" w:eastAsia="仿宋_GB2312"/>
          <w:sz w:val="32"/>
          <w:szCs w:val="32"/>
        </w:rPr>
      </w:pPr>
      <w:r>
        <w:rPr>
          <w:rFonts w:hint="eastAsia" w:ascii="仿宋_GB2312" w:hAnsi="Calibri" w:eastAsia="仿宋_GB2312"/>
          <w:sz w:val="32"/>
          <w:szCs w:val="32"/>
        </w:rPr>
        <w:t>4.接受上级有关部门的监督、检查；</w:t>
      </w:r>
    </w:p>
    <w:p>
      <w:pPr>
        <w:snapToGrid w:val="0"/>
        <w:spacing w:line="580" w:lineRule="exact"/>
        <w:ind w:firstLine="640"/>
        <w:rPr>
          <w:rFonts w:ascii="仿宋_GB2312" w:hAnsi="Calibri" w:eastAsia="仿宋_GB2312"/>
          <w:spacing w:val="-8"/>
          <w:sz w:val="32"/>
          <w:szCs w:val="32"/>
        </w:rPr>
      </w:pPr>
      <w:r>
        <w:rPr>
          <w:rFonts w:hint="eastAsia" w:ascii="仿宋_GB2312" w:hAnsi="Calibri" w:eastAsia="仿宋_GB2312"/>
          <w:spacing w:val="-8"/>
          <w:sz w:val="32"/>
          <w:szCs w:val="32"/>
        </w:rPr>
        <w:t xml:space="preserve">5.组织支持对象、平台建设负责人进行自评、审计和绩效考核。 </w:t>
      </w:r>
    </w:p>
    <w:p>
      <w:pPr>
        <w:snapToGrid w:val="0"/>
        <w:spacing w:line="580" w:lineRule="exact"/>
        <w:ind w:firstLine="640"/>
        <w:rPr>
          <w:rFonts w:ascii="楷体_GB2312" w:hAnsi="Calibri" w:eastAsia="楷体_GB2312"/>
          <w:b/>
          <w:sz w:val="32"/>
          <w:szCs w:val="32"/>
        </w:rPr>
      </w:pPr>
      <w:r>
        <w:rPr>
          <w:rFonts w:hint="eastAsia" w:ascii="楷体_GB2312" w:hAnsi="Calibri" w:eastAsia="楷体_GB2312"/>
          <w:b/>
          <w:sz w:val="32"/>
          <w:szCs w:val="32"/>
        </w:rPr>
        <w:t>（四）支持对象、平台建设负责人</w:t>
      </w:r>
    </w:p>
    <w:p>
      <w:pPr>
        <w:snapToGrid w:val="0"/>
        <w:spacing w:line="580" w:lineRule="exact"/>
        <w:ind w:firstLine="496" w:firstLineChars="155"/>
        <w:rPr>
          <w:rFonts w:ascii="仿宋_GB2312" w:hAnsi="Calibri" w:eastAsia="仿宋_GB2312"/>
          <w:sz w:val="32"/>
          <w:szCs w:val="32"/>
        </w:rPr>
      </w:pPr>
      <w:r>
        <w:rPr>
          <w:rFonts w:hint="eastAsia" w:ascii="仿宋_GB2312" w:hAnsi="Calibri" w:eastAsia="仿宋_GB2312"/>
          <w:sz w:val="32"/>
          <w:szCs w:val="32"/>
        </w:rPr>
        <w:t xml:space="preserve"> 1.配合承担单位编制资金使用计划及预算绩效目标； </w:t>
      </w:r>
    </w:p>
    <w:p>
      <w:pPr>
        <w:snapToGrid w:val="0"/>
        <w:spacing w:line="580" w:lineRule="exact"/>
        <w:ind w:firstLine="640"/>
        <w:rPr>
          <w:rFonts w:ascii="仿宋_GB2312" w:hAnsi="Calibri" w:eastAsia="仿宋_GB2312"/>
          <w:sz w:val="32"/>
          <w:szCs w:val="32"/>
        </w:rPr>
      </w:pPr>
      <w:r>
        <w:rPr>
          <w:rFonts w:hint="eastAsia" w:ascii="仿宋_GB2312" w:hAnsi="Calibri" w:eastAsia="仿宋_GB2312"/>
          <w:sz w:val="32"/>
          <w:szCs w:val="32"/>
        </w:rPr>
        <w:t xml:space="preserve">2.负责执行审批权限内的各项资金支出； </w:t>
      </w:r>
    </w:p>
    <w:p>
      <w:pPr>
        <w:snapToGrid w:val="0"/>
        <w:spacing w:line="580" w:lineRule="exact"/>
        <w:ind w:firstLine="640"/>
        <w:rPr>
          <w:rFonts w:ascii="仿宋_GB2312" w:hAnsi="Calibri" w:eastAsia="仿宋_GB2312"/>
          <w:sz w:val="32"/>
          <w:szCs w:val="32"/>
        </w:rPr>
      </w:pPr>
      <w:r>
        <w:rPr>
          <w:rFonts w:hint="eastAsia" w:ascii="仿宋_GB2312" w:hAnsi="Calibri" w:eastAsia="仿宋_GB2312"/>
          <w:sz w:val="32"/>
          <w:szCs w:val="32"/>
        </w:rPr>
        <w:t xml:space="preserve">3.接受上级有关部门和承担单位的监督、检查； </w:t>
      </w:r>
    </w:p>
    <w:p>
      <w:pPr>
        <w:snapToGrid w:val="0"/>
        <w:spacing w:line="580" w:lineRule="exact"/>
        <w:ind w:firstLine="640"/>
        <w:rPr>
          <w:rFonts w:ascii="仿宋_GB2312" w:hAnsi="Calibri" w:eastAsia="仿宋_GB2312"/>
          <w:sz w:val="32"/>
          <w:szCs w:val="32"/>
        </w:rPr>
      </w:pPr>
      <w:r>
        <w:rPr>
          <w:rFonts w:hint="eastAsia" w:ascii="仿宋_GB2312" w:hAnsi="Calibri" w:eastAsia="仿宋_GB2312"/>
          <w:sz w:val="32"/>
          <w:szCs w:val="32"/>
        </w:rPr>
        <w:t>4.按国家中医药管理局要求，配合承担单位进行自评、审计和绩效考核。</w:t>
      </w:r>
    </w:p>
    <w:p>
      <w:pPr>
        <w:snapToGrid w:val="0"/>
        <w:spacing w:line="580" w:lineRule="exact"/>
        <w:ind w:firstLine="640"/>
        <w:rPr>
          <w:rFonts w:ascii="仿宋_GB2312" w:hAnsi="Calibri" w:eastAsia="仿宋_GB2312"/>
          <w:sz w:val="32"/>
          <w:szCs w:val="32"/>
        </w:rPr>
      </w:pPr>
    </w:p>
    <w:p>
      <w:pPr>
        <w:spacing w:line="580" w:lineRule="exact"/>
        <w:jc w:val="center"/>
        <w:rPr>
          <w:rFonts w:ascii="黑体" w:hAnsi="黑体" w:eastAsia="黑体"/>
          <w:sz w:val="32"/>
          <w:szCs w:val="32"/>
        </w:rPr>
      </w:pPr>
      <w:r>
        <w:rPr>
          <w:rFonts w:hint="eastAsia" w:ascii="黑体" w:hAnsi="黑体" w:eastAsia="黑体"/>
          <w:sz w:val="32"/>
          <w:szCs w:val="32"/>
        </w:rPr>
        <w:t>第四章</w:t>
      </w:r>
      <w:r>
        <w:rPr>
          <w:rFonts w:hint="eastAsia" w:ascii="宋体" w:hAnsi="宋体" w:cs="宋体"/>
          <w:sz w:val="32"/>
          <w:szCs w:val="32"/>
        </w:rPr>
        <w:t> </w:t>
      </w:r>
      <w:r>
        <w:rPr>
          <w:rFonts w:hint="eastAsia" w:ascii="黑体" w:hAnsi="黑体" w:eastAsia="黑体"/>
          <w:sz w:val="32"/>
          <w:szCs w:val="32"/>
        </w:rPr>
        <w:t>绩效评价</w:t>
      </w:r>
    </w:p>
    <w:p>
      <w:pPr>
        <w:adjustRightInd w:val="0"/>
        <w:snapToGrid w:val="0"/>
        <w:spacing w:line="580" w:lineRule="exact"/>
        <w:ind w:firstLine="640" w:firstLineChars="200"/>
        <w:rPr>
          <w:rFonts w:ascii="仿宋_GB2312" w:hAnsi="仿宋_GB2312" w:eastAsia="仿宋_GB2312" w:cs="黑体"/>
          <w:sz w:val="32"/>
          <w:szCs w:val="32"/>
        </w:rPr>
      </w:pPr>
      <w:r>
        <w:rPr>
          <w:rFonts w:hint="eastAsia" w:ascii="黑体" w:hAnsi="Calibri" w:eastAsia="黑体"/>
          <w:sz w:val="32"/>
          <w:szCs w:val="32"/>
        </w:rPr>
        <w:t xml:space="preserve">第十二条  </w:t>
      </w:r>
      <w:r>
        <w:rPr>
          <w:rFonts w:hint="eastAsia" w:ascii="仿宋_GB2312" w:hAnsi="仿宋_GB2312" w:eastAsia="仿宋_GB2312"/>
          <w:sz w:val="32"/>
          <w:szCs w:val="32"/>
        </w:rPr>
        <w:t>国家中医药管理局根据工程实施办法，制定支持对象、平台建设单位年度考核、中期考核和结业考核（验收）方案和考核（验收）指标，并具体组织实施绩效评价工作，绩效评价工作可根据需要委托专家、社会中介机构等第三方实施。</w:t>
      </w:r>
    </w:p>
    <w:p>
      <w:pPr>
        <w:adjustRightInd w:val="0"/>
        <w:snapToGrid w:val="0"/>
        <w:spacing w:line="580" w:lineRule="exact"/>
        <w:ind w:firstLine="640" w:firstLineChars="200"/>
        <w:rPr>
          <w:rFonts w:ascii="仿宋_GB2312" w:hAnsi="仿宋_GB2312" w:eastAsia="仿宋_GB2312"/>
          <w:sz w:val="32"/>
          <w:szCs w:val="32"/>
        </w:rPr>
      </w:pPr>
      <w:r>
        <w:rPr>
          <w:rFonts w:hint="eastAsia" w:ascii="黑体" w:hAnsi="Calibri" w:eastAsia="黑体"/>
          <w:sz w:val="32"/>
          <w:szCs w:val="32"/>
        </w:rPr>
        <w:t xml:space="preserve">第十三条  </w:t>
      </w:r>
      <w:r>
        <w:rPr>
          <w:rFonts w:hint="eastAsia" w:ascii="仿宋_GB2312" w:hAnsi="仿宋_GB2312" w:eastAsia="仿宋_GB2312"/>
          <w:sz w:val="32"/>
          <w:szCs w:val="32"/>
        </w:rPr>
        <w:t>绩效评价采取定量与定性相结合的形式，具体分值和等级可根据支持对象、平台建设单位不同评价内容设定。</w:t>
      </w:r>
    </w:p>
    <w:p>
      <w:pPr>
        <w:adjustRightInd w:val="0"/>
        <w:snapToGrid w:val="0"/>
        <w:spacing w:line="580" w:lineRule="exact"/>
        <w:ind w:firstLine="640" w:firstLineChars="200"/>
        <w:rPr>
          <w:rFonts w:ascii="仿宋_GB2312" w:hAnsi="仿宋_GB2312" w:eastAsia="仿宋_GB2312"/>
          <w:sz w:val="32"/>
          <w:szCs w:val="32"/>
        </w:rPr>
      </w:pPr>
      <w:r>
        <w:rPr>
          <w:rFonts w:hint="eastAsia" w:ascii="黑体" w:hAnsi="Calibri" w:eastAsia="黑体"/>
          <w:sz w:val="32"/>
          <w:szCs w:val="32"/>
        </w:rPr>
        <w:t xml:space="preserve">第十四条  </w:t>
      </w:r>
      <w:r>
        <w:rPr>
          <w:rFonts w:hint="eastAsia" w:ascii="仿宋_GB2312" w:hAnsi="仿宋_GB2312" w:eastAsia="仿宋_GB2312"/>
          <w:sz w:val="32"/>
          <w:szCs w:val="32"/>
        </w:rPr>
        <w:t>国家中医药管理局根据《财政支出绩效评价管理暂行办法》等相关文件制定绩效评价方案，组织、指导承担单位的绩效评价工作。</w:t>
      </w:r>
    </w:p>
    <w:p>
      <w:pPr>
        <w:adjustRightInd w:val="0"/>
        <w:snapToGrid w:val="0"/>
        <w:spacing w:line="580" w:lineRule="exact"/>
        <w:ind w:firstLine="640" w:firstLineChars="200"/>
        <w:rPr>
          <w:rFonts w:ascii="仿宋_GB2312" w:hAnsi="仿宋_GB2312" w:eastAsia="仿宋_GB2312"/>
          <w:sz w:val="32"/>
          <w:szCs w:val="32"/>
        </w:rPr>
      </w:pPr>
      <w:r>
        <w:rPr>
          <w:rFonts w:hint="eastAsia" w:ascii="黑体" w:hAnsi="Calibri" w:eastAsia="黑体"/>
          <w:sz w:val="32"/>
          <w:szCs w:val="32"/>
        </w:rPr>
        <w:t xml:space="preserve">第十五条  </w:t>
      </w:r>
      <w:r>
        <w:rPr>
          <w:rFonts w:hint="eastAsia" w:ascii="仿宋_GB2312" w:hAnsi="仿宋_GB2312" w:eastAsia="仿宋_GB2312"/>
          <w:sz w:val="32"/>
          <w:szCs w:val="32"/>
        </w:rPr>
        <w:t>承担单位根据绩效评价方案，对资金投入和使用情况、为实现绩效目标制定的制度、采取的措施、绩效目标的实现程度及效果等方面进行自评价。</w:t>
      </w:r>
    </w:p>
    <w:p>
      <w:pPr>
        <w:adjustRightInd w:val="0"/>
        <w:snapToGrid w:val="0"/>
        <w:spacing w:line="580" w:lineRule="exact"/>
        <w:ind w:firstLine="640" w:firstLineChars="200"/>
        <w:rPr>
          <w:rFonts w:ascii="仿宋_GB2312" w:hAnsi="仿宋_GB2312" w:eastAsia="仿宋_GB2312"/>
          <w:sz w:val="32"/>
          <w:szCs w:val="32"/>
        </w:rPr>
      </w:pPr>
      <w:r>
        <w:rPr>
          <w:rFonts w:hint="eastAsia" w:ascii="黑体" w:hAnsi="Calibri" w:eastAsia="黑体"/>
          <w:sz w:val="32"/>
          <w:szCs w:val="32"/>
        </w:rPr>
        <w:t xml:space="preserve">第十六条  </w:t>
      </w:r>
      <w:r>
        <w:rPr>
          <w:rFonts w:hint="eastAsia" w:ascii="仿宋_GB2312" w:hAnsi="仿宋_GB2312" w:eastAsia="仿宋_GB2312"/>
          <w:sz w:val="32"/>
          <w:szCs w:val="32"/>
        </w:rPr>
        <w:t>国家中医药管理局及时整理、归纳、分析、反馈绩效评价结果，并将其作为改进工程资金预算管理和安排年度预算的依据。对绩效评价结果较好的，予以表扬。对达不到绩效目标或评价结果较差的，予以通报批评，并责令限期整改。不进行整改或整改不到位的，相应调减或取消资金。</w:t>
      </w:r>
    </w:p>
    <w:p>
      <w:pPr>
        <w:adjustRightInd w:val="0"/>
        <w:snapToGrid w:val="0"/>
        <w:spacing w:line="580" w:lineRule="exact"/>
        <w:ind w:firstLine="640" w:firstLineChars="200"/>
        <w:rPr>
          <w:rFonts w:ascii="仿宋_GB2312" w:hAnsi="仿宋_GB2312" w:eastAsia="仿宋_GB2312"/>
          <w:sz w:val="32"/>
          <w:szCs w:val="32"/>
        </w:rPr>
      </w:pPr>
      <w:r>
        <w:rPr>
          <w:rFonts w:hint="eastAsia" w:ascii="黑体" w:hAnsi="Calibri" w:eastAsia="黑体"/>
          <w:sz w:val="32"/>
          <w:szCs w:val="32"/>
        </w:rPr>
        <w:t xml:space="preserve">第十七条  </w:t>
      </w:r>
      <w:r>
        <w:rPr>
          <w:rFonts w:hint="eastAsia" w:ascii="仿宋_GB2312" w:hAnsi="仿宋_GB2312" w:eastAsia="仿宋_GB2312"/>
          <w:sz w:val="32"/>
          <w:szCs w:val="32"/>
        </w:rPr>
        <w:t>绩效评价原则上每年一次，也可根据实际工作需要，开展中期绩效评价。</w:t>
      </w:r>
    </w:p>
    <w:p>
      <w:pPr>
        <w:adjustRightInd w:val="0"/>
        <w:snapToGrid w:val="0"/>
        <w:spacing w:line="580" w:lineRule="exact"/>
        <w:ind w:firstLine="640" w:firstLineChars="200"/>
        <w:rPr>
          <w:rFonts w:ascii="仿宋_GB2312" w:hAnsi="仿宋_GB2312" w:eastAsia="仿宋_GB2312"/>
          <w:sz w:val="32"/>
          <w:szCs w:val="32"/>
        </w:rPr>
      </w:pPr>
    </w:p>
    <w:p>
      <w:pPr>
        <w:spacing w:line="580" w:lineRule="exact"/>
        <w:jc w:val="center"/>
        <w:rPr>
          <w:rFonts w:ascii="黑体" w:hAnsi="黑体" w:eastAsia="黑体"/>
          <w:sz w:val="32"/>
          <w:szCs w:val="32"/>
        </w:rPr>
      </w:pPr>
      <w:r>
        <w:rPr>
          <w:rFonts w:hint="eastAsia" w:ascii="黑体" w:hAnsi="黑体" w:eastAsia="黑体"/>
          <w:sz w:val="32"/>
          <w:szCs w:val="32"/>
        </w:rPr>
        <w:t>第五章</w:t>
      </w:r>
      <w:r>
        <w:rPr>
          <w:rFonts w:ascii="Arial" w:hAnsi="Arial" w:eastAsia="黑体"/>
          <w:sz w:val="32"/>
          <w:szCs w:val="32"/>
        </w:rPr>
        <w:t>    </w:t>
      </w:r>
      <w:r>
        <w:rPr>
          <w:rFonts w:hint="eastAsia" w:ascii="黑体" w:hAnsi="黑体" w:eastAsia="黑体"/>
          <w:sz w:val="32"/>
          <w:szCs w:val="32"/>
        </w:rPr>
        <w:t>监督检查</w:t>
      </w:r>
    </w:p>
    <w:p>
      <w:pPr>
        <w:spacing w:line="580" w:lineRule="exact"/>
        <w:ind w:firstLine="640" w:firstLineChars="200"/>
        <w:rPr>
          <w:rFonts w:ascii="仿宋_GB2312" w:hAnsi="Calibri" w:eastAsia="仿宋_GB2312" w:cs="黑体"/>
          <w:spacing w:val="2"/>
          <w:sz w:val="32"/>
          <w:szCs w:val="32"/>
        </w:rPr>
      </w:pPr>
      <w:r>
        <w:rPr>
          <w:rFonts w:hint="eastAsia" w:ascii="黑体" w:hAnsi="Calibri" w:eastAsia="黑体"/>
          <w:sz w:val="32"/>
          <w:szCs w:val="32"/>
        </w:rPr>
        <w:t xml:space="preserve">第十八条  </w:t>
      </w:r>
      <w:r>
        <w:rPr>
          <w:rFonts w:hint="eastAsia" w:ascii="仿宋_GB2312" w:hAnsi="Calibri" w:eastAsia="仿宋_GB2312"/>
          <w:sz w:val="32"/>
          <w:szCs w:val="32"/>
        </w:rPr>
        <w:t>资</w:t>
      </w:r>
      <w:r>
        <w:rPr>
          <w:rFonts w:hint="eastAsia" w:ascii="仿宋_GB2312" w:hAnsi="Calibri" w:eastAsia="仿宋_GB2312"/>
          <w:spacing w:val="2"/>
          <w:sz w:val="32"/>
          <w:szCs w:val="32"/>
        </w:rPr>
        <w:t>金要专款专用，各级中医药主管部门及承担单位要按照工程有关规定安排使用资金，不得擅自扩大支出范围，改变支出用途，不得以任何形式挤占、挪用、截留和滞留。年度未支出的资金，按财政部对结转结余资金管理的有关规定进行管理。</w:t>
      </w:r>
    </w:p>
    <w:p>
      <w:pPr>
        <w:spacing w:line="580" w:lineRule="exact"/>
        <w:ind w:firstLine="640" w:firstLineChars="200"/>
        <w:rPr>
          <w:rFonts w:ascii="仿宋_GB2312" w:hAnsi="Calibri" w:eastAsia="仿宋_GB2312"/>
          <w:sz w:val="32"/>
          <w:szCs w:val="32"/>
        </w:rPr>
      </w:pPr>
      <w:r>
        <w:rPr>
          <w:rFonts w:hint="eastAsia" w:ascii="黑体" w:hAnsi="Calibri" w:eastAsia="黑体"/>
          <w:sz w:val="32"/>
          <w:szCs w:val="32"/>
        </w:rPr>
        <w:t xml:space="preserve">第十九条  </w:t>
      </w:r>
      <w:r>
        <w:rPr>
          <w:rFonts w:hint="eastAsia" w:ascii="仿宋_GB2312" w:hAnsi="Calibri" w:eastAsia="仿宋_GB2312"/>
          <w:sz w:val="32"/>
          <w:szCs w:val="32"/>
        </w:rPr>
        <w:t>各级中医药主管部门、承担单位及其工作人员在资金分配、审核工作中，存在违反规定分配资金、向不符合条件的单位（或项目）分配资金，或者擅自超出规定的范围或者标准分配或使用专项资金，以及其他滥用职权、玩忽职守、徇私舞弊等违法违纪行为的，按照《中华人民共和国预算法》《中华人民共和国公务员法》《中华人民共和国行政监察法》《财政违法行为处罚条例》等国家有关规定追究相应责任；涉嫌犯罪的，移送司法机关处理。</w:t>
      </w:r>
    </w:p>
    <w:p>
      <w:pPr>
        <w:spacing w:line="580" w:lineRule="exact"/>
        <w:ind w:firstLine="640" w:firstLineChars="200"/>
        <w:rPr>
          <w:rFonts w:ascii="仿宋_GB2312" w:hAnsi="Calibri" w:eastAsia="仿宋_GB2312"/>
          <w:sz w:val="32"/>
          <w:szCs w:val="32"/>
        </w:rPr>
      </w:pPr>
      <w:r>
        <w:rPr>
          <w:rFonts w:hint="eastAsia" w:ascii="黑体" w:hAnsi="Calibri" w:eastAsia="黑体"/>
          <w:sz w:val="32"/>
          <w:szCs w:val="32"/>
        </w:rPr>
        <w:t>第二十条</w:t>
      </w:r>
      <w:r>
        <w:rPr>
          <w:rFonts w:hint="eastAsia" w:ascii="仿宋_GB2312" w:hAnsi="Calibri" w:eastAsia="仿宋_GB2312"/>
          <w:sz w:val="32"/>
          <w:szCs w:val="32"/>
        </w:rPr>
        <w:t xml:space="preserve">  各级中医药主管部门要加强对资金使用情况的监督管理，认真开展资金管理和使用情况监督检查，及时发现和纠正有关问题。</w:t>
      </w:r>
    </w:p>
    <w:p>
      <w:pPr>
        <w:spacing w:line="580" w:lineRule="exact"/>
        <w:ind w:firstLine="640" w:firstLineChars="200"/>
        <w:rPr>
          <w:rFonts w:ascii="仿宋_GB2312" w:hAnsi="Calibri" w:eastAsia="仿宋_GB2312"/>
          <w:sz w:val="32"/>
          <w:szCs w:val="32"/>
        </w:rPr>
      </w:pPr>
    </w:p>
    <w:p>
      <w:pPr>
        <w:spacing w:line="580" w:lineRule="exact"/>
        <w:jc w:val="center"/>
        <w:rPr>
          <w:rFonts w:ascii="黑体" w:hAnsi="黑体" w:eastAsia="黑体"/>
          <w:sz w:val="32"/>
          <w:szCs w:val="32"/>
        </w:rPr>
      </w:pPr>
      <w:r>
        <w:rPr>
          <w:rFonts w:hint="eastAsia" w:ascii="黑体" w:hAnsi="黑体" w:eastAsia="黑体"/>
          <w:sz w:val="32"/>
          <w:szCs w:val="32"/>
        </w:rPr>
        <w:t>第六章</w:t>
      </w:r>
      <w:r>
        <w:rPr>
          <w:rFonts w:ascii="Arial" w:hAnsi="Arial" w:eastAsia="黑体"/>
          <w:sz w:val="32"/>
          <w:szCs w:val="32"/>
        </w:rPr>
        <w:t>   </w:t>
      </w:r>
      <w:r>
        <w:rPr>
          <w:rFonts w:hint="eastAsia" w:ascii="黑体" w:hAnsi="黑体" w:eastAsia="黑体"/>
          <w:sz w:val="32"/>
          <w:szCs w:val="32"/>
        </w:rPr>
        <w:t>附</w:t>
      </w:r>
      <w:r>
        <w:rPr>
          <w:rFonts w:ascii="Arial" w:hAnsi="Arial" w:eastAsia="黑体"/>
          <w:sz w:val="32"/>
          <w:szCs w:val="32"/>
        </w:rPr>
        <w:t>  </w:t>
      </w:r>
      <w:r>
        <w:rPr>
          <w:rFonts w:hint="eastAsia" w:ascii="黑体" w:hAnsi="黑体" w:eastAsia="黑体"/>
          <w:sz w:val="32"/>
          <w:szCs w:val="32"/>
        </w:rPr>
        <w:t>则</w:t>
      </w:r>
    </w:p>
    <w:p>
      <w:pPr>
        <w:spacing w:line="580" w:lineRule="exact"/>
        <w:ind w:firstLine="640" w:firstLineChars="200"/>
        <w:rPr>
          <w:rFonts w:ascii="黑体" w:hAnsi="Calibri" w:eastAsia="黑体"/>
          <w:sz w:val="32"/>
          <w:szCs w:val="32"/>
        </w:rPr>
      </w:pPr>
      <w:r>
        <w:rPr>
          <w:rFonts w:hint="eastAsia" w:ascii="黑体" w:hAnsi="Calibri" w:eastAsia="黑体"/>
          <w:sz w:val="32"/>
          <w:szCs w:val="32"/>
        </w:rPr>
        <w:t xml:space="preserve">第二十一条  </w:t>
      </w:r>
      <w:r>
        <w:rPr>
          <w:rFonts w:hint="eastAsia" w:ascii="仿宋_GB2312" w:hAnsi="Calibri" w:eastAsia="仿宋_GB2312"/>
          <w:sz w:val="32"/>
          <w:szCs w:val="32"/>
        </w:rPr>
        <w:t>本办法由国家中医药管理局负责解释。</w:t>
      </w:r>
    </w:p>
    <w:p>
      <w:pPr>
        <w:spacing w:line="580" w:lineRule="exact"/>
        <w:ind w:firstLine="640" w:firstLineChars="200"/>
        <w:rPr>
          <w:rFonts w:ascii="仿宋_GB2312" w:hAnsi="Calibri" w:eastAsia="仿宋_GB2312"/>
          <w:sz w:val="32"/>
          <w:szCs w:val="32"/>
        </w:rPr>
      </w:pPr>
      <w:r>
        <w:rPr>
          <w:rFonts w:hint="eastAsia" w:ascii="黑体" w:hAnsi="Calibri" w:eastAsia="黑体"/>
          <w:sz w:val="32"/>
          <w:szCs w:val="32"/>
        </w:rPr>
        <w:t xml:space="preserve">第二十二条  </w:t>
      </w:r>
      <w:r>
        <w:rPr>
          <w:rFonts w:hint="eastAsia" w:ascii="仿宋_GB2312" w:hAnsi="Calibri" w:eastAsia="仿宋_GB2312"/>
          <w:sz w:val="32"/>
          <w:szCs w:val="32"/>
        </w:rPr>
        <w:t>各省级中医药主管部门根据本办法，结合本地实际，制定实施细则。</w:t>
      </w:r>
    </w:p>
    <w:p>
      <w:pPr>
        <w:spacing w:line="580" w:lineRule="exact"/>
        <w:ind w:firstLine="640" w:firstLineChars="200"/>
        <w:rPr>
          <w:rFonts w:ascii="仿宋_GB2312" w:hAnsi="仿宋" w:eastAsia="仿宋_GB2312"/>
          <w:color w:val="0D0D0D"/>
          <w:sz w:val="28"/>
          <w:szCs w:val="28"/>
        </w:rPr>
      </w:pPr>
      <w:r>
        <w:rPr>
          <w:rFonts w:hint="eastAsia" w:ascii="黑体" w:hAnsi="Calibri" w:eastAsia="黑体"/>
          <w:sz w:val="32"/>
          <w:szCs w:val="32"/>
        </w:rPr>
        <w:t xml:space="preserve">第二十三条  </w:t>
      </w:r>
      <w:r>
        <w:rPr>
          <w:rFonts w:hint="eastAsia" w:ascii="仿宋_GB2312" w:hAnsi="Calibri" w:eastAsia="仿宋_GB2312"/>
          <w:color w:val="000000"/>
          <w:sz w:val="32"/>
          <w:szCs w:val="32"/>
        </w:rPr>
        <w:t>本办法自印发之日起施行。《国家中医药管理局关于印发中医药传承与创新“百千万”人才工程（岐黄工程）资金管理暂行办法的通知》（国中医药人教发</w:t>
      </w:r>
      <w:r>
        <w:rPr>
          <w:rFonts w:hint="eastAsia" w:ascii="仿宋_GB2312" w:hAnsi="宋体" w:eastAsia="仿宋_GB2312" w:cs="宋体"/>
          <w:color w:val="000000"/>
          <w:sz w:val="32"/>
          <w:szCs w:val="32"/>
        </w:rPr>
        <w:t>〔2017〕</w:t>
      </w:r>
      <w:r>
        <w:rPr>
          <w:rFonts w:hint="eastAsia" w:ascii="仿宋_GB2312" w:hAnsi="Calibri" w:eastAsia="仿宋_GB2312"/>
          <w:color w:val="000000"/>
          <w:sz w:val="32"/>
          <w:szCs w:val="32"/>
        </w:rPr>
        <w:t>15号）同时废止。</w:t>
      </w:r>
      <w:bookmarkStart w:id="0" w:name="_GoBack"/>
      <w:bookmarkEnd w:id="0"/>
    </w:p>
    <w:sectPr>
      <w:footerReference r:id="rId3" w:type="default"/>
      <w:footerReference r:id="rId4" w:type="even"/>
      <w:pgSz w:w="11906" w:h="16838"/>
      <w:pgMar w:top="1701" w:right="1531" w:bottom="1701" w:left="1531"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swiss"/>
    <w:pitch w:val="default"/>
    <w:sig w:usb0="00000000" w:usb1="00000000" w:usb2="0000003F" w:usb3="00000000" w:csb0="003F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Arial">
    <w:panose1 w:val="020B0604020202020204"/>
    <w:charset w:val="00"/>
    <w:family w:val="swiss"/>
    <w:pitch w:val="default"/>
    <w:sig w:usb0="E0002EFF" w:usb1="C000785B" w:usb2="00000009" w:usb3="00000000" w:csb0="400001FF" w:csb1="FFFF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left" w:pos="8505"/>
      </w:tabs>
      <w:ind w:firstLine="7560" w:firstLineChars="2700"/>
      <w:rPr>
        <w:rFonts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3</w:t>
    </w:r>
    <w:r>
      <w:rPr>
        <w:rFonts w:ascii="宋体" w:hAnsi="宋体"/>
        <w:sz w:val="28"/>
        <w:szCs w:val="28"/>
      </w:rPr>
      <w:fldChar w:fldCharType="end"/>
    </w:r>
    <w:r>
      <w:rPr>
        <w:rFonts w:hint="eastAsia" w:ascii="宋体" w:hAnsi="宋体"/>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280" w:firstLineChars="100"/>
      <w:rPr>
        <w:rFonts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2</w:t>
    </w:r>
    <w:r>
      <w:rPr>
        <w:rFonts w:ascii="宋体" w:hAnsi="宋体"/>
        <w:sz w:val="28"/>
        <w:szCs w:val="28"/>
      </w:rPr>
      <w:fldChar w:fldCharType="end"/>
    </w:r>
    <w:r>
      <w:rPr>
        <w:rFonts w:hint="eastAsia" w:ascii="宋体" w:hAnsi="宋体"/>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432A2"/>
    <w:rsid w:val="0001419E"/>
    <w:rsid w:val="00021178"/>
    <w:rsid w:val="00021BD0"/>
    <w:rsid w:val="000511EC"/>
    <w:rsid w:val="000830B1"/>
    <w:rsid w:val="00085554"/>
    <w:rsid w:val="000A1C82"/>
    <w:rsid w:val="000B6C14"/>
    <w:rsid w:val="000C061F"/>
    <w:rsid w:val="000D3211"/>
    <w:rsid w:val="000D6D7B"/>
    <w:rsid w:val="000E11F6"/>
    <w:rsid w:val="000F108F"/>
    <w:rsid w:val="00102F79"/>
    <w:rsid w:val="00110055"/>
    <w:rsid w:val="00111C96"/>
    <w:rsid w:val="0012215A"/>
    <w:rsid w:val="001254F4"/>
    <w:rsid w:val="001271CD"/>
    <w:rsid w:val="0013098E"/>
    <w:rsid w:val="001458AC"/>
    <w:rsid w:val="0016453E"/>
    <w:rsid w:val="00166980"/>
    <w:rsid w:val="00170094"/>
    <w:rsid w:val="00190FE2"/>
    <w:rsid w:val="0019196B"/>
    <w:rsid w:val="00192F1A"/>
    <w:rsid w:val="00195CFD"/>
    <w:rsid w:val="00197E43"/>
    <w:rsid w:val="00204C5A"/>
    <w:rsid w:val="00207034"/>
    <w:rsid w:val="00237BE6"/>
    <w:rsid w:val="00246298"/>
    <w:rsid w:val="002559A6"/>
    <w:rsid w:val="00256244"/>
    <w:rsid w:val="002649AF"/>
    <w:rsid w:val="00290958"/>
    <w:rsid w:val="002A28BC"/>
    <w:rsid w:val="002A7ECE"/>
    <w:rsid w:val="002B6AF5"/>
    <w:rsid w:val="002C160E"/>
    <w:rsid w:val="002C448B"/>
    <w:rsid w:val="002D1129"/>
    <w:rsid w:val="00311936"/>
    <w:rsid w:val="00320D22"/>
    <w:rsid w:val="0032397B"/>
    <w:rsid w:val="00331604"/>
    <w:rsid w:val="0034688D"/>
    <w:rsid w:val="00363074"/>
    <w:rsid w:val="003709B6"/>
    <w:rsid w:val="003762C8"/>
    <w:rsid w:val="003C1EA1"/>
    <w:rsid w:val="003C5A80"/>
    <w:rsid w:val="00411C64"/>
    <w:rsid w:val="0041301F"/>
    <w:rsid w:val="00414C49"/>
    <w:rsid w:val="00435C3D"/>
    <w:rsid w:val="00447DA8"/>
    <w:rsid w:val="0046198B"/>
    <w:rsid w:val="004B1953"/>
    <w:rsid w:val="004B4EFF"/>
    <w:rsid w:val="004D068D"/>
    <w:rsid w:val="004D331F"/>
    <w:rsid w:val="004E384E"/>
    <w:rsid w:val="004E7F1E"/>
    <w:rsid w:val="004F3A6E"/>
    <w:rsid w:val="00511B05"/>
    <w:rsid w:val="005310AE"/>
    <w:rsid w:val="00532CBE"/>
    <w:rsid w:val="005511C3"/>
    <w:rsid w:val="0055473A"/>
    <w:rsid w:val="00555C8C"/>
    <w:rsid w:val="0056444B"/>
    <w:rsid w:val="00580FE4"/>
    <w:rsid w:val="005941B1"/>
    <w:rsid w:val="00595C8D"/>
    <w:rsid w:val="005B667E"/>
    <w:rsid w:val="005E1748"/>
    <w:rsid w:val="005E1FE5"/>
    <w:rsid w:val="005E6015"/>
    <w:rsid w:val="005F1119"/>
    <w:rsid w:val="00604319"/>
    <w:rsid w:val="0063433B"/>
    <w:rsid w:val="0066358C"/>
    <w:rsid w:val="00671F1E"/>
    <w:rsid w:val="00682863"/>
    <w:rsid w:val="0068468A"/>
    <w:rsid w:val="006A62BC"/>
    <w:rsid w:val="006C00ED"/>
    <w:rsid w:val="006D463D"/>
    <w:rsid w:val="006D7E1E"/>
    <w:rsid w:val="006E24E7"/>
    <w:rsid w:val="006F2D1D"/>
    <w:rsid w:val="006F7AD7"/>
    <w:rsid w:val="00703417"/>
    <w:rsid w:val="00713D96"/>
    <w:rsid w:val="007223FF"/>
    <w:rsid w:val="007228A5"/>
    <w:rsid w:val="007331F1"/>
    <w:rsid w:val="007466B8"/>
    <w:rsid w:val="00753191"/>
    <w:rsid w:val="007A3350"/>
    <w:rsid w:val="007C7068"/>
    <w:rsid w:val="007F0A68"/>
    <w:rsid w:val="007F1E8F"/>
    <w:rsid w:val="008139D9"/>
    <w:rsid w:val="008342DA"/>
    <w:rsid w:val="0085236D"/>
    <w:rsid w:val="00882B59"/>
    <w:rsid w:val="0088540C"/>
    <w:rsid w:val="00897CF9"/>
    <w:rsid w:val="008D77B1"/>
    <w:rsid w:val="008E70F2"/>
    <w:rsid w:val="008F091C"/>
    <w:rsid w:val="008F117F"/>
    <w:rsid w:val="00903210"/>
    <w:rsid w:val="00913C77"/>
    <w:rsid w:val="00924CA7"/>
    <w:rsid w:val="00925E9A"/>
    <w:rsid w:val="00950867"/>
    <w:rsid w:val="009530D7"/>
    <w:rsid w:val="00977327"/>
    <w:rsid w:val="0098302E"/>
    <w:rsid w:val="009B1304"/>
    <w:rsid w:val="009B7F9C"/>
    <w:rsid w:val="009C6A24"/>
    <w:rsid w:val="009D1CC2"/>
    <w:rsid w:val="00A0713E"/>
    <w:rsid w:val="00A14DCF"/>
    <w:rsid w:val="00A34F83"/>
    <w:rsid w:val="00A41D4F"/>
    <w:rsid w:val="00A46337"/>
    <w:rsid w:val="00A547A5"/>
    <w:rsid w:val="00A85E55"/>
    <w:rsid w:val="00A934C7"/>
    <w:rsid w:val="00AC2BDD"/>
    <w:rsid w:val="00B12C9B"/>
    <w:rsid w:val="00B41F18"/>
    <w:rsid w:val="00B42198"/>
    <w:rsid w:val="00B432A2"/>
    <w:rsid w:val="00B60570"/>
    <w:rsid w:val="00B667A6"/>
    <w:rsid w:val="00BD04BB"/>
    <w:rsid w:val="00BD305E"/>
    <w:rsid w:val="00BF7888"/>
    <w:rsid w:val="00C00274"/>
    <w:rsid w:val="00C10DC3"/>
    <w:rsid w:val="00C13FCC"/>
    <w:rsid w:val="00C15024"/>
    <w:rsid w:val="00C70D3C"/>
    <w:rsid w:val="00C81F1A"/>
    <w:rsid w:val="00C84EDA"/>
    <w:rsid w:val="00CA57FF"/>
    <w:rsid w:val="00CB39EE"/>
    <w:rsid w:val="00CC016A"/>
    <w:rsid w:val="00CC714D"/>
    <w:rsid w:val="00CD0077"/>
    <w:rsid w:val="00CD0F47"/>
    <w:rsid w:val="00CD15AA"/>
    <w:rsid w:val="00CD66B5"/>
    <w:rsid w:val="00CF0FB5"/>
    <w:rsid w:val="00D146CF"/>
    <w:rsid w:val="00D26B95"/>
    <w:rsid w:val="00D27F03"/>
    <w:rsid w:val="00D30652"/>
    <w:rsid w:val="00D52344"/>
    <w:rsid w:val="00D6086E"/>
    <w:rsid w:val="00D95DFC"/>
    <w:rsid w:val="00DC6034"/>
    <w:rsid w:val="00DD1446"/>
    <w:rsid w:val="00DF6048"/>
    <w:rsid w:val="00DF662F"/>
    <w:rsid w:val="00DF7F5A"/>
    <w:rsid w:val="00E22F70"/>
    <w:rsid w:val="00E24937"/>
    <w:rsid w:val="00E41B2C"/>
    <w:rsid w:val="00E448CD"/>
    <w:rsid w:val="00EA00C4"/>
    <w:rsid w:val="00EA57F7"/>
    <w:rsid w:val="00EC759D"/>
    <w:rsid w:val="00ED221F"/>
    <w:rsid w:val="00EE1C26"/>
    <w:rsid w:val="00EF0C9A"/>
    <w:rsid w:val="00EF5847"/>
    <w:rsid w:val="00EF63CA"/>
    <w:rsid w:val="00F20312"/>
    <w:rsid w:val="00F76112"/>
    <w:rsid w:val="00F9501C"/>
    <w:rsid w:val="00F96B4F"/>
    <w:rsid w:val="00FA6A68"/>
    <w:rsid w:val="00FC1748"/>
    <w:rsid w:val="00FE0D95"/>
    <w:rsid w:val="00FE2B16"/>
    <w:rsid w:val="00FE2C66"/>
    <w:rsid w:val="00FE705D"/>
    <w:rsid w:val="30C93B1B"/>
    <w:rsid w:val="38754375"/>
    <w:rsid w:val="3BF072E6"/>
    <w:rsid w:val="5150224E"/>
  </w:rsids>
  <m:mathPr>
    <m:mathFont m:val="Cambria Math"/>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99" w:semiHidden="0" w:name="header"/>
    <w:lsdException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99"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4"/>
    <w:semiHidden/>
    <w:unhideWhenUsed/>
    <w:uiPriority w:val="0"/>
    <w:pPr>
      <w:ind w:left="100" w:leftChars="2500"/>
    </w:pPr>
  </w:style>
  <w:style w:type="paragraph" w:styleId="3">
    <w:name w:val="Balloon Text"/>
    <w:basedOn w:val="1"/>
    <w:link w:val="15"/>
    <w:semiHidden/>
    <w:unhideWhenUsed/>
    <w:qFormat/>
    <w:uiPriority w:val="0"/>
    <w:rPr>
      <w:sz w:val="18"/>
      <w:szCs w:val="18"/>
    </w:rPr>
  </w:style>
  <w:style w:type="paragraph" w:styleId="4">
    <w:name w:val="footer"/>
    <w:basedOn w:val="1"/>
    <w:link w:val="13"/>
    <w:unhideWhenUsed/>
    <w:uiPriority w:val="99"/>
    <w:pPr>
      <w:tabs>
        <w:tab w:val="center" w:pos="4153"/>
        <w:tab w:val="right" w:pos="8306"/>
      </w:tabs>
      <w:snapToGrid w:val="0"/>
      <w:jc w:val="left"/>
    </w:pPr>
    <w:rPr>
      <w:rFonts w:ascii="Calibri" w:hAnsi="Calibri"/>
      <w:sz w:val="18"/>
      <w:szCs w:val="18"/>
    </w:rPr>
  </w:style>
  <w:style w:type="paragraph" w:styleId="5">
    <w:name w:val="header"/>
    <w:basedOn w:val="1"/>
    <w:link w:val="12"/>
    <w:unhideWhenUsed/>
    <w:uiPriority w:val="99"/>
    <w:pPr>
      <w:pBdr>
        <w:bottom w:val="single" w:color="auto" w:sz="6" w:space="1"/>
      </w:pBdr>
      <w:tabs>
        <w:tab w:val="center" w:pos="4153"/>
        <w:tab w:val="right" w:pos="8306"/>
      </w:tabs>
      <w:snapToGrid w:val="0"/>
      <w:jc w:val="center"/>
    </w:pPr>
    <w:rPr>
      <w:rFonts w:ascii="Calibri" w:hAnsi="Calibri"/>
      <w:sz w:val="18"/>
      <w:szCs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8">
    <w:name w:val="Table Grid"/>
    <w:basedOn w:val="7"/>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basedOn w:val="9"/>
    <w:qFormat/>
    <w:uiPriority w:val="22"/>
    <w:rPr>
      <w:b/>
      <w:bCs/>
    </w:rPr>
  </w:style>
  <w:style w:type="character" w:styleId="11">
    <w:name w:val="Hyperlink"/>
    <w:basedOn w:val="9"/>
    <w:unhideWhenUsed/>
    <w:uiPriority w:val="99"/>
    <w:rPr>
      <w:color w:val="0000FF"/>
      <w:u w:val="single"/>
    </w:rPr>
  </w:style>
  <w:style w:type="character" w:customStyle="1" w:styleId="12">
    <w:name w:val="页眉 Char"/>
    <w:basedOn w:val="9"/>
    <w:link w:val="5"/>
    <w:semiHidden/>
    <w:uiPriority w:val="99"/>
    <w:rPr>
      <w:sz w:val="18"/>
      <w:szCs w:val="18"/>
    </w:rPr>
  </w:style>
  <w:style w:type="character" w:customStyle="1" w:styleId="13">
    <w:name w:val="页脚 Char"/>
    <w:basedOn w:val="9"/>
    <w:link w:val="4"/>
    <w:uiPriority w:val="99"/>
    <w:rPr>
      <w:sz w:val="18"/>
      <w:szCs w:val="18"/>
    </w:rPr>
  </w:style>
  <w:style w:type="character" w:customStyle="1" w:styleId="14">
    <w:name w:val="日期 Char"/>
    <w:basedOn w:val="9"/>
    <w:link w:val="2"/>
    <w:semiHidden/>
    <w:uiPriority w:val="0"/>
    <w:rPr>
      <w:kern w:val="2"/>
      <w:sz w:val="21"/>
      <w:szCs w:val="24"/>
    </w:rPr>
  </w:style>
  <w:style w:type="character" w:customStyle="1" w:styleId="15">
    <w:name w:val="批注框文本 Char"/>
    <w:basedOn w:val="9"/>
    <w:link w:val="3"/>
    <w:semiHidden/>
    <w:uiPriority w:val="0"/>
    <w:rPr>
      <w:kern w:val="2"/>
      <w:sz w:val="18"/>
      <w:szCs w:val="18"/>
    </w:rPr>
  </w:style>
  <w:style w:type="paragraph" w:customStyle="1" w:styleId="16">
    <w:name w:val="正文 A"/>
    <w:uiPriority w:val="0"/>
    <w:pPr>
      <w:pBdr>
        <w:top w:val="none" w:color="auto" w:sz="0" w:space="0"/>
        <w:left w:val="none" w:color="auto" w:sz="0" w:space="0"/>
        <w:bottom w:val="none" w:color="auto" w:sz="0" w:space="0"/>
        <w:right w:val="none" w:color="auto" w:sz="0" w:space="0"/>
        <w:between w:val="none" w:color="auto" w:sz="0" w:space="0"/>
      </w:pBdr>
    </w:pPr>
    <w:rPr>
      <w:rFonts w:hint="eastAsia" w:ascii="Arial Unicode MS" w:hAnsi="Arial Unicode MS" w:eastAsia="Arial Unicode MS" w:cs="Arial Unicode MS"/>
      <w:color w:val="000000"/>
      <w:sz w:val="22"/>
      <w:szCs w:val="22"/>
      <w:u w:color="000000"/>
      <w:lang w:val="zh-TW" w:eastAsia="zh-TW" w:bidi="ar-SA"/>
    </w:rPr>
  </w:style>
  <w:style w:type="table" w:customStyle="1" w:styleId="17">
    <w:name w:val="网格型1"/>
    <w:basedOn w:val="7"/>
    <w:uiPriority w:val="59"/>
    <w:rPr>
      <w:rFonts w:ascii="仿宋_GB2312" w:hAnsi="Calibri" w:eastAsia="仿宋_GB2312"/>
      <w:kern w:val="2"/>
      <w:sz w:val="32"/>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customStyle="1" w:styleId="18">
    <w:name w:val="公文标题1"/>
    <w:basedOn w:val="1"/>
    <w:link w:val="19"/>
    <w:qFormat/>
    <w:uiPriority w:val="0"/>
    <w:pPr>
      <w:spacing w:line="500" w:lineRule="exact"/>
      <w:jc w:val="center"/>
    </w:pPr>
    <w:rPr>
      <w:rFonts w:ascii="方正小标宋简体" w:hAnsi="仿宋" w:eastAsia="方正小标宋简体"/>
      <w:sz w:val="44"/>
      <w:szCs w:val="32"/>
    </w:rPr>
  </w:style>
  <w:style w:type="character" w:customStyle="1" w:styleId="19">
    <w:name w:val="公文标题1 Char"/>
    <w:basedOn w:val="9"/>
    <w:link w:val="18"/>
    <w:uiPriority w:val="0"/>
    <w:rPr>
      <w:rFonts w:ascii="方正小标宋简体" w:hAnsi="仿宋" w:eastAsia="方正小标宋简体" w:cs="Times New Roman"/>
      <w:kern w:val="2"/>
      <w:sz w:val="44"/>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A45D6FE-017E-4390-B5F2-A66EBA624454}">
  <ds:schemaRefs/>
</ds:datastoreItem>
</file>

<file path=docProps/app.xml><?xml version="1.0" encoding="utf-8"?>
<Properties xmlns="http://schemas.openxmlformats.org/officeDocument/2006/extended-properties" xmlns:vt="http://schemas.openxmlformats.org/officeDocument/2006/docPropsVTypes">
  <Template>Normal.dotm</Template>
  <Company>您的公司名</Company>
  <Pages>1</Pages>
  <Words>1050</Words>
  <Characters>5990</Characters>
  <Lines>49</Lines>
  <Paragraphs>14</Paragraphs>
  <TotalTime>45</TotalTime>
  <ScaleCrop>false</ScaleCrop>
  <LinksUpToDate>false</LinksUpToDate>
  <CharactersWithSpaces>7026</CharactersWithSpaces>
  <Application>WPS Office_11.1.0.10000_F1E327BC-269C-435d-A152-05C5408002CA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2018-01-16T06:21:00Z</dcterms:created>
  <dc:creator>n</dc:creator>
  <cp:lastModifiedBy>wln</cp:lastModifiedBy>
  <cp:lastPrinted>2018-01-17T02:26:00Z</cp:lastPrinted>
  <dcterms:modified xsi:type="dcterms:W3CDTF">2020-10-15T04:03:09Z</dcterms:modified>
  <dc:title>为贯彻落实中医药基本公共卫生服务项目推进工作会议精神和国家卫生计生委、财政部、国家中医药管理局《关于做好2015年国家基本公共卫生服务项目工作的通知》（国卫基层发〔2015〕67号）要求，进一步做好中医药健康管理服务项目实施工作，现将有关事宜通知如下：</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2052-11.1.0.10000</vt:lpwstr>
  </property>
</Properties>
</file>