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4A0" w:firstRow="1" w:lastRow="0" w:firstColumn="1" w:lastColumn="0" w:noHBand="0" w:noVBand="1"/>
      </w:tblPr>
      <w:tblGrid>
        <w:gridCol w:w="704"/>
        <w:gridCol w:w="1323"/>
        <w:gridCol w:w="1343"/>
        <w:gridCol w:w="1376"/>
        <w:gridCol w:w="818"/>
        <w:gridCol w:w="1452"/>
        <w:gridCol w:w="2010"/>
        <w:gridCol w:w="924"/>
        <w:gridCol w:w="924"/>
        <w:gridCol w:w="2110"/>
        <w:gridCol w:w="974"/>
      </w:tblGrid>
      <w:tr w:rsidR="00CA3380" w:rsidRPr="00F07A22" w:rsidTr="006951DC">
        <w:trPr>
          <w:trHeight w:val="559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 w:rsidRPr="00F07A22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项目支出绩效自评表</w:t>
            </w:r>
          </w:p>
        </w:tc>
      </w:tr>
      <w:tr w:rsidR="00CA3380" w:rsidRPr="00F07A22" w:rsidTr="006951DC">
        <w:trPr>
          <w:trHeight w:val="480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07A22">
              <w:rPr>
                <w:rFonts w:ascii="宋体" w:hAnsi="宋体" w:cs="宋体" w:hint="eastAsia"/>
                <w:kern w:val="0"/>
                <w:sz w:val="22"/>
              </w:rPr>
              <w:t>(2017年度)</w:t>
            </w:r>
          </w:p>
        </w:tc>
      </w:tr>
      <w:tr w:rsidR="00CA3380" w:rsidRPr="00F07A22" w:rsidTr="006951DC">
        <w:trPr>
          <w:trHeight w:val="379"/>
        </w:trPr>
        <w:tc>
          <w:tcPr>
            <w:tcW w:w="7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4274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中央所属（管）医院服务能力建设</w:t>
            </w:r>
          </w:p>
        </w:tc>
      </w:tr>
      <w:tr w:rsidR="00CA3380" w:rsidRPr="00F07A22" w:rsidTr="006951DC">
        <w:trPr>
          <w:trHeight w:val="379"/>
        </w:trPr>
        <w:tc>
          <w:tcPr>
            <w:tcW w:w="7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主管部门及代码</w:t>
            </w:r>
          </w:p>
        </w:tc>
        <w:tc>
          <w:tcPr>
            <w:tcW w:w="178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［160]国家中医药管理局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实施单位   </w:t>
            </w:r>
          </w:p>
        </w:tc>
        <w:tc>
          <w:tcPr>
            <w:tcW w:w="176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国家中医药管理局</w:t>
            </w:r>
          </w:p>
        </w:tc>
      </w:tr>
      <w:tr w:rsidR="00CA3380" w:rsidRPr="00F07A22" w:rsidTr="006951DC">
        <w:trPr>
          <w:trHeight w:val="379"/>
        </w:trPr>
        <w:tc>
          <w:tcPr>
            <w:tcW w:w="72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项目资金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（万元）</w:t>
            </w:r>
          </w:p>
        </w:tc>
        <w:tc>
          <w:tcPr>
            <w:tcW w:w="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全年预算数</w:t>
            </w:r>
          </w:p>
        </w:tc>
        <w:tc>
          <w:tcPr>
            <w:tcW w:w="105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分值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执行率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得分</w:t>
            </w:r>
          </w:p>
        </w:tc>
      </w:tr>
      <w:tr w:rsidR="00CA3380" w:rsidRPr="00F07A22" w:rsidTr="006951DC">
        <w:trPr>
          <w:trHeight w:val="379"/>
        </w:trPr>
        <w:tc>
          <w:tcPr>
            <w:tcW w:w="726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8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21153.18 </w:t>
            </w:r>
          </w:p>
        </w:tc>
        <w:tc>
          <w:tcPr>
            <w:tcW w:w="105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18504.62 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10.00 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87.48%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8.75 </w:t>
            </w:r>
          </w:p>
        </w:tc>
      </w:tr>
      <w:tr w:rsidR="00CA3380" w:rsidRPr="00F07A22" w:rsidTr="006951DC">
        <w:trPr>
          <w:trHeight w:val="379"/>
        </w:trPr>
        <w:tc>
          <w:tcPr>
            <w:tcW w:w="726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其中：财政拨款</w:t>
            </w:r>
          </w:p>
        </w:tc>
        <w:tc>
          <w:tcPr>
            <w:tcW w:w="8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21153.18 </w:t>
            </w:r>
          </w:p>
        </w:tc>
        <w:tc>
          <w:tcPr>
            <w:tcW w:w="10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18504.62 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87.48%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CA3380" w:rsidRPr="00F07A22" w:rsidTr="006951DC">
        <w:trPr>
          <w:trHeight w:val="379"/>
        </w:trPr>
        <w:tc>
          <w:tcPr>
            <w:tcW w:w="726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  其他资金</w:t>
            </w:r>
          </w:p>
        </w:tc>
        <w:tc>
          <w:tcPr>
            <w:tcW w:w="8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CA3380" w:rsidRPr="00F07A22" w:rsidTr="006951DC">
        <w:trPr>
          <w:trHeight w:val="379"/>
        </w:trPr>
        <w:tc>
          <w:tcPr>
            <w:tcW w:w="252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度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总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体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目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标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完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成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情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proofErr w:type="gramStart"/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况</w:t>
            </w:r>
            <w:proofErr w:type="gramEnd"/>
          </w:p>
        </w:tc>
        <w:tc>
          <w:tcPr>
            <w:tcW w:w="226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248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目标实际完成情况</w:t>
            </w:r>
          </w:p>
        </w:tc>
      </w:tr>
      <w:tr w:rsidR="00CA3380" w:rsidRPr="00F07A22" w:rsidTr="006951DC">
        <w:trPr>
          <w:trHeight w:val="2190"/>
        </w:trPr>
        <w:tc>
          <w:tcPr>
            <w:tcW w:w="25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1" w:type="pct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从“中医药传承与人才培养”、“中央直属（管）医院医疗服务示范能力建设”、“中医‘治未病’建设示范项目”、“中医药应急救助和重大疑难疾病网络建设”、“中医药标准化和信息化建设”、“京津冀中医医疗服务一体化建设”六个方面，不断提升我局直属（管）中医医院中医药治理能力和管理水平。完成各二级项目年度工作任务，实现绩效目标，严格政府采购程序，规范安全使用资金，序时均衡支出预算，</w:t>
            </w:r>
            <w:proofErr w:type="gramStart"/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推进局</w:t>
            </w:r>
            <w:proofErr w:type="gramEnd"/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直属（管）中医医院服务能力建设。</w:t>
            </w:r>
          </w:p>
        </w:tc>
        <w:tc>
          <w:tcPr>
            <w:tcW w:w="2486" w:type="pct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按照工作计划，完成“中医药传承与人才培养”、“中央直属（管）医院医疗服务示范能力建设”、“中医‘治未病’建设示范项目”、“中医药应急救助和重大疑难疾病网络建设”、“中医药标准化和信息化建设”、“京津冀中医医疗服务一体化建设”六个方面工作，有助于我局提升直属（管）中医医院中医药治理能力和管理水平。</w:t>
            </w:r>
          </w:p>
        </w:tc>
      </w:tr>
      <w:tr w:rsidR="00CA3380" w:rsidRPr="00F07A22" w:rsidTr="006951DC">
        <w:trPr>
          <w:trHeight w:val="379"/>
        </w:trPr>
        <w:tc>
          <w:tcPr>
            <w:tcW w:w="2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绩效指标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7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预期指标值</w:t>
            </w:r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实际完成指标值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分值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得分</w:t>
            </w:r>
          </w:p>
        </w:tc>
        <w:tc>
          <w:tcPr>
            <w:tcW w:w="11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未完成原因分析</w:t>
            </w:r>
          </w:p>
        </w:tc>
      </w:tr>
      <w:tr w:rsidR="00CA3380" w:rsidRPr="00F07A22" w:rsidTr="006951DC">
        <w:trPr>
          <w:trHeight w:val="379"/>
        </w:trPr>
        <w:tc>
          <w:tcPr>
            <w:tcW w:w="2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4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产出指标</w:t>
            </w:r>
          </w:p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（50分）</w:t>
            </w:r>
          </w:p>
        </w:tc>
        <w:tc>
          <w:tcPr>
            <w:tcW w:w="48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7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完成项目数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22个</w:t>
            </w:r>
          </w:p>
        </w:tc>
        <w:tc>
          <w:tcPr>
            <w:tcW w:w="7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28个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1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CA3380" w:rsidRPr="00F07A22" w:rsidTr="006951DC">
        <w:trPr>
          <w:trHeight w:val="540"/>
        </w:trPr>
        <w:tc>
          <w:tcPr>
            <w:tcW w:w="2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相关专科门诊量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提高10%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有所提高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10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因</w:t>
            </w:r>
            <w:proofErr w:type="gramStart"/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医</w:t>
            </w:r>
            <w:proofErr w:type="gramEnd"/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改分级诊疗对门诊量增长有一定影响</w:t>
            </w:r>
          </w:p>
        </w:tc>
      </w:tr>
      <w:tr w:rsidR="00CA3380" w:rsidRPr="00F07A22" w:rsidTr="006951DC">
        <w:trPr>
          <w:trHeight w:val="379"/>
        </w:trPr>
        <w:tc>
          <w:tcPr>
            <w:tcW w:w="2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产出指标</w:t>
            </w:r>
          </w:p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（50分）</w:t>
            </w:r>
          </w:p>
        </w:tc>
        <w:tc>
          <w:tcPr>
            <w:tcW w:w="4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7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完成项目质量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10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CA3380" w:rsidRPr="00F07A22" w:rsidTr="006951DC">
        <w:trPr>
          <w:trHeight w:val="720"/>
        </w:trPr>
        <w:tc>
          <w:tcPr>
            <w:tcW w:w="2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家具设备验收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除个别医院外，均合格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9 </w:t>
            </w:r>
          </w:p>
        </w:tc>
        <w:tc>
          <w:tcPr>
            <w:tcW w:w="110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广安门医院因新楼工程延期交付，家具不具备采购条件</w:t>
            </w:r>
          </w:p>
        </w:tc>
      </w:tr>
      <w:tr w:rsidR="00CA3380" w:rsidRPr="00F07A22" w:rsidTr="006951DC">
        <w:trPr>
          <w:trHeight w:val="379"/>
        </w:trPr>
        <w:tc>
          <w:tcPr>
            <w:tcW w:w="2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7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门诊接收时间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及时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及时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10 </w:t>
            </w:r>
          </w:p>
        </w:tc>
        <w:tc>
          <w:tcPr>
            <w:tcW w:w="110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CA3380" w:rsidRPr="00F07A22" w:rsidTr="006951DC">
        <w:trPr>
          <w:trHeight w:val="379"/>
        </w:trPr>
        <w:tc>
          <w:tcPr>
            <w:tcW w:w="2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效益指标</w:t>
            </w:r>
          </w:p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（30分）</w:t>
            </w:r>
          </w:p>
        </w:tc>
        <w:tc>
          <w:tcPr>
            <w:tcW w:w="48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经济效益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指标</w:t>
            </w:r>
          </w:p>
        </w:tc>
        <w:tc>
          <w:tcPr>
            <w:tcW w:w="7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中医治疗率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增长≥1%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达到目标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5 </w:t>
            </w:r>
          </w:p>
        </w:tc>
        <w:tc>
          <w:tcPr>
            <w:tcW w:w="110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CA3380" w:rsidRPr="00F07A22" w:rsidTr="006951DC">
        <w:trPr>
          <w:trHeight w:val="540"/>
        </w:trPr>
        <w:tc>
          <w:tcPr>
            <w:tcW w:w="2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床位使用率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增长≥1%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除望京</w:t>
            </w:r>
            <w:proofErr w:type="gramEnd"/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医院外，均≥1%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3.8</w:t>
            </w:r>
          </w:p>
        </w:tc>
        <w:tc>
          <w:tcPr>
            <w:tcW w:w="110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望京医院因核磁未到位，床位使用率未增长</w:t>
            </w:r>
          </w:p>
        </w:tc>
      </w:tr>
      <w:tr w:rsidR="00CA3380" w:rsidRPr="00F07A22" w:rsidTr="006951DC">
        <w:trPr>
          <w:trHeight w:val="540"/>
        </w:trPr>
        <w:tc>
          <w:tcPr>
            <w:tcW w:w="2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社会效益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指标</w:t>
            </w:r>
          </w:p>
        </w:tc>
        <w:tc>
          <w:tcPr>
            <w:tcW w:w="7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患者就医环境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改善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得到一定程度的改善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4.8</w:t>
            </w:r>
          </w:p>
        </w:tc>
        <w:tc>
          <w:tcPr>
            <w:tcW w:w="110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广安门医院：新楼工程延期交付，尚未发挥效益</w:t>
            </w:r>
          </w:p>
        </w:tc>
      </w:tr>
      <w:tr w:rsidR="00CA3380" w:rsidRPr="00F07A22" w:rsidTr="006951DC">
        <w:trPr>
          <w:trHeight w:val="540"/>
        </w:trPr>
        <w:tc>
          <w:tcPr>
            <w:tcW w:w="2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医护人员工作环境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改善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得到一定程度的改善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4.8</w:t>
            </w:r>
          </w:p>
        </w:tc>
        <w:tc>
          <w:tcPr>
            <w:tcW w:w="110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广安门医院：新楼工程延期交付，尚未发挥效益</w:t>
            </w:r>
          </w:p>
        </w:tc>
      </w:tr>
      <w:tr w:rsidR="00CA3380" w:rsidRPr="00F07A22" w:rsidTr="006951DC">
        <w:trPr>
          <w:trHeight w:val="765"/>
        </w:trPr>
        <w:tc>
          <w:tcPr>
            <w:tcW w:w="2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患者等候取药时间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有所减少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有所减少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4.8</w:t>
            </w:r>
          </w:p>
        </w:tc>
        <w:tc>
          <w:tcPr>
            <w:tcW w:w="110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患者等候有所减少,机器尚处于磨合期,随着运行时间增加,将会发挥更好的效益</w:t>
            </w:r>
          </w:p>
        </w:tc>
      </w:tr>
      <w:tr w:rsidR="00CA3380" w:rsidRPr="00F07A22" w:rsidTr="006951DC">
        <w:trPr>
          <w:trHeight w:val="405"/>
        </w:trPr>
        <w:tc>
          <w:tcPr>
            <w:tcW w:w="2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78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对医疗行业信息共享、互联互通的影响</w:t>
            </w:r>
          </w:p>
        </w:tc>
        <w:tc>
          <w:tcPr>
            <w:tcW w:w="52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示范与推动</w:t>
            </w:r>
          </w:p>
        </w:tc>
        <w:tc>
          <w:tcPr>
            <w:tcW w:w="72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项目推动共建医院的数据共享与互联互通</w:t>
            </w:r>
          </w:p>
        </w:tc>
        <w:tc>
          <w:tcPr>
            <w:tcW w:w="33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5 </w:t>
            </w:r>
          </w:p>
        </w:tc>
        <w:tc>
          <w:tcPr>
            <w:tcW w:w="110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CA3380" w:rsidRPr="00F07A22" w:rsidTr="006951DC">
        <w:trPr>
          <w:trHeight w:val="405"/>
        </w:trPr>
        <w:tc>
          <w:tcPr>
            <w:tcW w:w="2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3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3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05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CA3380" w:rsidRPr="00F07A22" w:rsidTr="006951DC">
        <w:trPr>
          <w:trHeight w:val="795"/>
        </w:trPr>
        <w:tc>
          <w:tcPr>
            <w:tcW w:w="2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3380" w:rsidRPr="00F07A22" w:rsidRDefault="00CA3380" w:rsidP="006951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满意度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 w:type="page"/>
              <w:t>指标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 w:type="page"/>
              <w:t>（10分）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服务对象</w:t>
            </w: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br w:type="page"/>
              <w:t>满意度指标</w:t>
            </w:r>
          </w:p>
        </w:tc>
        <w:tc>
          <w:tcPr>
            <w:tcW w:w="7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患者满意度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≥90%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除望京</w:t>
            </w:r>
            <w:proofErr w:type="gramEnd"/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医院外，均≥90%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9.8</w:t>
            </w:r>
          </w:p>
        </w:tc>
        <w:tc>
          <w:tcPr>
            <w:tcW w:w="110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望京医院因</w:t>
            </w:r>
            <w:proofErr w:type="gramStart"/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人均次费用</w:t>
            </w:r>
            <w:proofErr w:type="gramEnd"/>
            <w:r w:rsidRPr="00F07A22">
              <w:rPr>
                <w:rFonts w:ascii="宋体" w:hAnsi="宋体" w:cs="宋体" w:hint="eastAsia"/>
                <w:kern w:val="0"/>
                <w:sz w:val="18"/>
                <w:szCs w:val="18"/>
              </w:rPr>
              <w:t>增长，患者满意度未达目标</w:t>
            </w:r>
          </w:p>
        </w:tc>
      </w:tr>
      <w:tr w:rsidR="00CA3380" w:rsidRPr="00F07A22" w:rsidTr="006951DC">
        <w:trPr>
          <w:trHeight w:val="379"/>
        </w:trPr>
        <w:tc>
          <w:tcPr>
            <w:tcW w:w="3233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3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380" w:rsidRPr="00F07A22" w:rsidRDefault="00CA3380" w:rsidP="006951DC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93.75 </w:t>
            </w:r>
          </w:p>
        </w:tc>
        <w:tc>
          <w:tcPr>
            <w:tcW w:w="110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380" w:rsidRPr="00F07A22" w:rsidRDefault="00CA3380" w:rsidP="006951D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7A2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CA3380" w:rsidRPr="00F07A22" w:rsidRDefault="00CA3380" w:rsidP="00CA3380">
      <w:pPr>
        <w:pStyle w:val="a3"/>
        <w:spacing w:before="0" w:beforeAutospacing="0" w:after="0" w:afterAutospacing="0" w:line="600" w:lineRule="exact"/>
        <w:ind w:firstLineChars="44" w:firstLine="141"/>
        <w:rPr>
          <w:rFonts w:ascii="仿宋_GB2312" w:eastAsia="仿宋_GB2312" w:hint="eastAsia"/>
          <w:sz w:val="32"/>
          <w:szCs w:val="32"/>
        </w:rPr>
      </w:pPr>
    </w:p>
    <w:p w:rsidR="00CA3380" w:rsidRPr="00F07A22" w:rsidRDefault="00CA3380" w:rsidP="00CA3380">
      <w:pPr>
        <w:pStyle w:val="a3"/>
        <w:spacing w:before="0" w:beforeAutospacing="0" w:after="0" w:afterAutospacing="0"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377985" w:rsidRDefault="00377985">
      <w:bookmarkStart w:id="0" w:name="_GoBack"/>
      <w:bookmarkEnd w:id="0"/>
    </w:p>
    <w:sectPr w:rsidR="00377985" w:rsidSect="00CA338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380"/>
    <w:rsid w:val="00377985"/>
    <w:rsid w:val="00CA3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91C510-6B4F-48D2-95AB-CCE7B0DA9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338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A33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wolf</dc:creator>
  <cp:keywords/>
  <dc:description/>
  <cp:lastModifiedBy>red wolf</cp:lastModifiedBy>
  <cp:revision>1</cp:revision>
  <dcterms:created xsi:type="dcterms:W3CDTF">2018-07-20T07:52:00Z</dcterms:created>
  <dcterms:modified xsi:type="dcterms:W3CDTF">2018-07-20T07:52:00Z</dcterms:modified>
</cp:coreProperties>
</file>