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50C" w:rsidRDefault="0089450C" w:rsidP="0089450C">
      <w:pPr>
        <w:spacing w:line="360" w:lineRule="auto"/>
        <w:rPr>
          <w:rFonts w:ascii="宋体" w:hAnsi="宋体" w:cs="楷体" w:hint="eastAsia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附件5</w:t>
      </w:r>
    </w:p>
    <w:p w:rsidR="0089450C" w:rsidRDefault="0089450C" w:rsidP="0089450C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糖尿病分级诊疗服务中医技术方案</w:t>
      </w:r>
    </w:p>
    <w:p w:rsidR="0089450C" w:rsidRDefault="0089450C" w:rsidP="0089450C">
      <w:pPr>
        <w:jc w:val="left"/>
        <w:rPr>
          <w:rFonts w:ascii="黑体" w:eastAsia="黑体" w:hAnsi="黑体" w:hint="eastAsia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  </w:t>
      </w:r>
      <w:r>
        <w:rPr>
          <w:rFonts w:ascii="仿宋" w:eastAsia="仿宋" w:hAnsi="仿宋" w:hint="eastAsia"/>
          <w:b/>
          <w:sz w:val="32"/>
          <w:szCs w:val="32"/>
        </w:rPr>
        <w:t xml:space="preserve"> 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糖尿病属中医“消渴病”范畴，中医药在糖尿病防治方面积累了丰富经验。发挥中医“治未病”的作用，可对糖尿病高危人群和前期人群进行调理；对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初诊为糖尿病的患者、</w:t>
      </w:r>
      <w:r>
        <w:rPr>
          <w:rFonts w:ascii="仿宋_GB2312" w:eastAsia="仿宋_GB2312" w:hAnsi="仿宋_GB2312" w:cs="仿宋_GB2312" w:hint="eastAsia"/>
          <w:sz w:val="32"/>
          <w:szCs w:val="32"/>
        </w:rPr>
        <w:t>服用降糖药后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血糖等理化指标和临床症状未改善的患者、出现并发症/合并症的患者、有意愿减少降糖药/合并用药用量的患者进行中医药治疗，可以</w:t>
      </w:r>
      <w:r>
        <w:rPr>
          <w:rFonts w:ascii="仿宋_GB2312" w:eastAsia="仿宋_GB2312" w:hAnsi="仿宋_GB2312" w:cs="仿宋_GB2312" w:hint="eastAsia"/>
          <w:sz w:val="32"/>
          <w:szCs w:val="32"/>
        </w:rPr>
        <w:t>改善症状、降低血糖、提高患者生活质量。</w:t>
      </w:r>
    </w:p>
    <w:p w:rsidR="0089450C" w:rsidRDefault="0089450C" w:rsidP="0089450C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一、糖尿病分级诊疗服务目标、路径与双向转诊标准</w:t>
      </w:r>
    </w:p>
    <w:p w:rsidR="0089450C" w:rsidRDefault="0089450C" w:rsidP="0089450C">
      <w:pPr>
        <w:ind w:firstLineChars="196" w:firstLine="63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" w:eastAsia="楷体" w:hAnsi="楷体" w:cs="楷体_GB2312" w:hint="eastAsia"/>
          <w:b/>
          <w:color w:val="000000"/>
          <w:sz w:val="32"/>
          <w:szCs w:val="32"/>
        </w:rPr>
        <w:t>（一）目标。</w:t>
      </w:r>
      <w:r>
        <w:rPr>
          <w:rFonts w:ascii="仿宋_GB2312" w:eastAsia="仿宋_GB2312" w:hAnsi="仿宋_GB2312" w:cs="仿宋_GB2312" w:hint="eastAsia"/>
          <w:sz w:val="32"/>
          <w:szCs w:val="32"/>
        </w:rPr>
        <w:t>充分发挥“三师共同服务”作用，指导患者早期预防、合理就医和规范采用中医药疗法。发挥中医药在糖尿病“三级预防”、健康管理等方面的作用，使糖尿病人血糖控制达标，糖尿病并发症延缓或逆转，降低糖尿病发病率、糖尿病并发症发生率、疾病致残和致死率。</w:t>
      </w:r>
    </w:p>
    <w:p w:rsidR="0089450C" w:rsidRDefault="0089450C" w:rsidP="0089450C">
      <w:pPr>
        <w:ind w:firstLineChars="200" w:firstLine="643"/>
        <w:rPr>
          <w:rFonts w:ascii="楷体_GB2312" w:eastAsia="楷体_GB2312" w:hAnsi="楷体_GB2312" w:cs="楷体_GB2312" w:hint="eastAsia"/>
          <w:b/>
          <w:color w:val="00000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color w:val="000000"/>
          <w:sz w:val="32"/>
          <w:szCs w:val="32"/>
        </w:rPr>
        <w:t>（二）路径（如下图）。</w:t>
      </w:r>
    </w:p>
    <w:p w:rsidR="0089450C" w:rsidRDefault="0089450C" w:rsidP="0089450C">
      <w:pPr>
        <w:rPr>
          <w:rFonts w:ascii="楷体_GB2312" w:eastAsia="楷体_GB2312" w:hAnsi="楷体_GB2312" w:cs="楷体_GB2312" w:hint="eastAsia"/>
          <w:b/>
          <w:color w:val="000000"/>
          <w:sz w:val="32"/>
          <w:szCs w:val="32"/>
        </w:rPr>
        <w:sectPr w:rsidR="0089450C">
          <w:headerReference w:type="default" r:id="rId4"/>
          <w:footerReference w:type="default" r:id="rId5"/>
          <w:pgSz w:w="11906" w:h="16838"/>
          <w:pgMar w:top="1440" w:right="1803" w:bottom="1440" w:left="1803" w:header="851" w:footer="992" w:gutter="0"/>
          <w:cols w:space="720"/>
          <w:docGrid w:type="lines" w:linePitch="319"/>
        </w:sectPr>
      </w:pPr>
    </w:p>
    <w:p w:rsidR="0089450C" w:rsidRDefault="0089450C" w:rsidP="0089450C">
      <w:pPr>
        <w:ind w:firstLineChars="200" w:firstLine="643"/>
        <w:rPr>
          <w:rFonts w:ascii="楷体_GB2312" w:eastAsia="楷体_GB2312" w:hAnsi="楷体_GB2312" w:cs="楷体_GB2312" w:hint="eastAsia"/>
          <w:b/>
          <w:color w:val="000000"/>
          <w:sz w:val="32"/>
          <w:szCs w:val="32"/>
        </w:rPr>
      </w:pPr>
    </w:p>
    <w:p w:rsidR="0089450C" w:rsidRDefault="0089450C" w:rsidP="0089450C">
      <w:pPr>
        <w:ind w:firstLineChars="200" w:firstLine="562"/>
        <w:rPr>
          <w:rFonts w:ascii="仿宋" w:eastAsia="仿宋" w:hAnsi="仿宋"/>
          <w:b/>
          <w:color w:val="FF0000"/>
          <w:sz w:val="32"/>
          <w:szCs w:val="32"/>
        </w:rPr>
      </w:pP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4" o:spid="_x0000_s1048" type="#_x0000_t32" style="position:absolute;left:0;text-align:left;margin-left:346.5pt;margin-top:23.4pt;width:.05pt;height:23.4pt;z-index:251682816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257.25pt;margin-top:0;width:274.65pt;height:23.9pt;z-index:251660288">
            <v:textbox style="mso-fit-shape-to-text:t">
              <w:txbxContent>
                <w:p w:rsidR="0089450C" w:rsidRDefault="0089450C" w:rsidP="0089450C">
                  <w:pPr>
                    <w:jc w:val="center"/>
                  </w:pPr>
                  <w:r>
                    <w:rPr>
                      <w:rFonts w:hint="eastAsia"/>
                    </w:rPr>
                    <w:t>基层医疗卫生机构</w:t>
                  </w:r>
                </w:p>
              </w:txbxContent>
            </v:textbox>
          </v:shape>
        </w:pict>
      </w:r>
    </w:p>
    <w:p w:rsidR="0089450C" w:rsidRDefault="0089450C" w:rsidP="0089450C">
      <w:pPr>
        <w:ind w:firstLineChars="200" w:firstLine="562"/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7" o:spid="_x0000_s1031" type="#_x0000_t32" style="position:absolute;left:0;text-align:left;margin-left:183.75pt;margin-top:15.6pt;width:.05pt;height:23.4pt;z-index:251665408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8" o:spid="_x0000_s1032" type="#_x0000_t32" style="position:absolute;left:0;text-align:left;margin-left:509.25pt;margin-top:15.6pt;width:.05pt;height:23.4pt;z-index:251666432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23" o:spid="_x0000_s1047" type="#_x0000_t32" style="position:absolute;left:0;text-align:left;margin-left:183.75pt;margin-top:15.6pt;width:325.5pt;height:0;z-index:251681792" o:connectortype="straight"/>
        </w:pict>
      </w:r>
      <w:r>
        <w:rPr>
          <w:rFonts w:ascii="仿宋" w:eastAsia="仿宋" w:hAnsi="仿宋" w:hint="eastAsia"/>
          <w:b/>
          <w:color w:val="FF0000"/>
          <w:sz w:val="28"/>
          <w:szCs w:val="28"/>
        </w:rPr>
        <w:t xml:space="preserve">              </w:t>
      </w:r>
    </w:p>
    <w:p w:rsidR="0089450C" w:rsidRDefault="0089450C" w:rsidP="0089450C">
      <w:pPr>
        <w:ind w:firstLineChars="200" w:firstLine="562"/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3" o:spid="_x0000_s1027" type="#_x0000_t202" style="position:absolute;left:0;text-align:left;margin-left:94.5pt;margin-top:7.8pt;width:274.7pt;height:23.9pt;z-index:251661312">
            <v:textbox style="mso-fit-shape-to-text:t">
              <w:txbxContent>
                <w:p w:rsidR="0089450C" w:rsidRDefault="0089450C" w:rsidP="0089450C">
                  <w:pPr>
                    <w:jc w:val="center"/>
                  </w:pPr>
                  <w:r>
                    <w:rPr>
                      <w:rFonts w:hint="eastAsia"/>
                    </w:rPr>
                    <w:t>明确诊断糖尿病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4" o:spid="_x0000_s1028" type="#_x0000_t202" style="position:absolute;left:0;text-align:left;margin-left:414.75pt;margin-top:7.8pt;width:185.05pt;height:39.85pt;z-index:251662336">
            <v:textbox style="mso-fit-shape-to-text:t">
              <w:txbxContent>
                <w:p w:rsidR="0089450C" w:rsidRDefault="0089450C" w:rsidP="0089450C">
                  <w:pPr>
                    <w:jc w:val="center"/>
                  </w:pPr>
                  <w:r>
                    <w:rPr>
                      <w:rFonts w:hint="eastAsia"/>
                    </w:rPr>
                    <w:t>既往有血糖异常记录，但不能明确诊断者</w:t>
                  </w:r>
                </w:p>
              </w:txbxContent>
            </v:textbox>
          </v:shape>
        </w:pict>
      </w:r>
    </w:p>
    <w:p w:rsidR="0089450C" w:rsidRDefault="0089450C" w:rsidP="0089450C">
      <w:pPr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15" o:spid="_x0000_s1039" type="#_x0000_t32" style="position:absolute;left:0;text-align:left;margin-left:509.2pt;margin-top:15.75pt;width:0;height:18.85pt;z-index:251673600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32" o:spid="_x0000_s1056" type="#_x0000_t32" style="position:absolute;left:0;text-align:left;margin-left:89.25pt;margin-top:23.4pt;width:.05pt;height:23.4pt;z-index:251691008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9" o:spid="_x0000_s1033" type="#_x0000_t32" style="position:absolute;left:0;text-align:left;margin-left:89.25pt;margin-top:23.4pt;width:194.25pt;height:.05pt;z-index:251667456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30" o:spid="_x0000_s1054" type="#_x0000_t32" style="position:absolute;left:0;text-align:left;margin-left:283.5pt;margin-top:23.4pt;width:.05pt;height:23.4pt;z-index:251688960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29" o:spid="_x0000_s1053" type="#_x0000_t32" style="position:absolute;left:0;text-align:left;margin-left:183.75pt;margin-top:0;width:.05pt;height:23.4pt;z-index:251687936" o:connectortype="straight"/>
        </w:pict>
      </w:r>
    </w:p>
    <w:p w:rsidR="0089450C" w:rsidRDefault="0089450C" w:rsidP="0089450C">
      <w:pPr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16" o:spid="_x0000_s1040" type="#_x0000_t202" style="position:absolute;left:0;text-align:left;margin-left:417.55pt;margin-top:3.4pt;width:183.75pt;height:23.9pt;z-index:251674624">
            <v:textbox style="mso-fit-shape-to-text:t">
              <w:txbxContent>
                <w:p w:rsidR="0089450C" w:rsidRDefault="0089450C" w:rsidP="0089450C">
                  <w:pPr>
                    <w:jc w:val="center"/>
                  </w:pPr>
                  <w:r>
                    <w:rPr>
                      <w:rFonts w:hint="eastAsia"/>
                    </w:rPr>
                    <w:t>转至二级及以上中医类医院明确诊断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17" o:spid="_x0000_s1041" type="#_x0000_t32" style="position:absolute;left:0;text-align:left;margin-left:509.2pt;margin-top:25.9pt;width:.05pt;height:23.4pt;z-index:251675648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5" o:spid="_x0000_s1029" type="#_x0000_t202" style="position:absolute;left:0;text-align:left;margin-left:36.75pt;margin-top:15.6pt;width:104.5pt;height:20.5pt;z-index:251663360">
            <v:textbox>
              <w:txbxContent>
                <w:p w:rsidR="0089450C" w:rsidRDefault="0089450C" w:rsidP="0089450C">
                  <w:pPr>
                    <w:jc w:val="center"/>
                  </w:pPr>
                  <w:r>
                    <w:rPr>
                      <w:rFonts w:hint="eastAsia"/>
                    </w:rPr>
                    <w:t>病情稳定，控制良好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6" o:spid="_x0000_s1030" type="#_x0000_t202" style="position:absolute;left:0;text-align:left;margin-left:231pt;margin-top:15.6pt;width:104.5pt;height:23.4pt;z-index:251664384">
            <v:textbox>
              <w:txbxContent>
                <w:p w:rsidR="0089450C" w:rsidRDefault="0089450C" w:rsidP="0089450C">
                  <w:pPr>
                    <w:jc w:val="center"/>
                  </w:pPr>
                  <w:r>
                    <w:rPr>
                      <w:rFonts w:hint="eastAsia"/>
                    </w:rPr>
                    <w:t>需要治疗调整</w:t>
                  </w:r>
                </w:p>
              </w:txbxContent>
            </v:textbox>
          </v:shape>
        </w:pict>
      </w:r>
    </w:p>
    <w:p w:rsidR="0089450C" w:rsidRDefault="0089450C" w:rsidP="0089450C">
      <w:pPr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25" o:spid="_x0000_s1049" type="#_x0000_t32" style="position:absolute;left:0;text-align:left;margin-left:594.15pt;margin-top:19.15pt;width:.05pt;height:23.4pt;z-index:251683840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18" o:spid="_x0000_s1042" type="#_x0000_t32" style="position:absolute;left:0;text-align:left;margin-left:426.2pt;margin-top:18.1pt;width:168pt;height:0;z-index:251676672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26" o:spid="_x0000_s1050" type="#_x0000_t32" style="position:absolute;left:0;text-align:left;margin-left:425.2pt;margin-top:18.1pt;width:.05pt;height:23.4pt;z-index:251684864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33" o:spid="_x0000_s1057" type="#_x0000_t32" style="position:absolute;left:0;text-align:left;margin-left:89.25pt;margin-top:7.8pt;width:.05pt;height:23.4pt;z-index:251692032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31" o:spid="_x0000_s1055" type="#_x0000_t32" style="position:absolute;left:0;text-align:left;margin-left:283.5pt;margin-top:7.8pt;width:.05pt;height:23.4pt;z-index:251689984" o:connectortype="straight"/>
        </w:pict>
      </w:r>
    </w:p>
    <w:p w:rsidR="0089450C" w:rsidRDefault="0089450C" w:rsidP="0089450C">
      <w:pPr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20" o:spid="_x0000_s1044" type="#_x0000_t202" style="position:absolute;left:0;text-align:left;margin-left:519.75pt;margin-top:12.3pt;width:122.8pt;height:39.15pt;z-index:251678720">
            <v:textbox>
              <w:txbxContent>
                <w:p w:rsidR="0089450C" w:rsidRDefault="0089450C" w:rsidP="0089450C">
                  <w:r>
                    <w:rPr>
                      <w:rFonts w:hint="eastAsia"/>
                    </w:rPr>
                    <w:t>明确诊断糖尿病者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19" o:spid="_x0000_s1043" type="#_x0000_t202" style="position:absolute;left:0;text-align:left;margin-left:365.05pt;margin-top:12.3pt;width:122.8pt;height:39.85pt;z-index:251677696">
            <v:textbox style="mso-fit-shape-to-text:t">
              <w:txbxContent>
                <w:p w:rsidR="0089450C" w:rsidRDefault="0089450C" w:rsidP="0089450C">
                  <w:r>
                    <w:rPr>
                      <w:rFonts w:hint="eastAsia"/>
                    </w:rPr>
                    <w:t>未达到糖尿病诊断标准者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10" o:spid="_x0000_s1034" type="#_x0000_t202" style="position:absolute;left:0;text-align:left;margin-left:231.75pt;margin-top:.75pt;width:105pt;height:40.4pt;z-index:251668480">
            <v:textbox>
              <w:txbxContent>
                <w:p w:rsidR="0089450C" w:rsidRDefault="0089450C" w:rsidP="0089450C">
                  <w:r>
                    <w:rPr>
                      <w:rFonts w:hint="eastAsia"/>
                    </w:rPr>
                    <w:t>转至二级及以上中医类医院处理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12" o:spid="_x0000_s1036" type="#_x0000_t202" style="position:absolute;left:0;text-align:left;margin-left:-42pt;margin-top:23.4pt;width:122.8pt;height:23.9pt;z-index:251670528">
            <v:textbox style="mso-fit-shape-to-text:t">
              <w:txbxContent>
                <w:p w:rsidR="0089450C" w:rsidRDefault="0089450C" w:rsidP="0089450C">
                  <w:r>
                    <w:rPr>
                      <w:rFonts w:hint="eastAsia"/>
                    </w:rPr>
                    <w:t>复诊、取药，日常管理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35" o:spid="_x0000_s1059" type="#_x0000_t202" style="position:absolute;left:0;text-align:left;margin-left:99.75pt;margin-top:23.4pt;width:123.4pt;height:39.85pt;z-index:251694080">
            <v:textbox style="mso-fit-shape-to-text:t">
              <w:txbxContent>
                <w:p w:rsidR="0089450C" w:rsidRDefault="0089450C" w:rsidP="0089450C">
                  <w:r>
                    <w:rPr>
                      <w:rFonts w:hint="eastAsia"/>
                    </w:rPr>
                    <w:t>出现需要二级及以上中医类医院诊疗的新情况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13" o:spid="_x0000_s1037" type="#_x0000_t32" style="position:absolute;left:0;text-align:left;margin-left:168pt;margin-top:0;width:.05pt;height:21.75pt;z-index:251671552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34" o:spid="_x0000_s1058" type="#_x0000_t32" style="position:absolute;left:0;text-align:left;margin-left:5.25pt;margin-top:0;width:162.75pt;height:0;z-index:251693056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11" o:spid="_x0000_s1035" type="#_x0000_t32" style="position:absolute;left:0;text-align:left;margin-left:5.25pt;margin-top:0;width:.05pt;height:21pt;z-index:251669504" o:connectortype="straight"/>
        </w:pict>
      </w:r>
    </w:p>
    <w:p w:rsidR="0089450C" w:rsidRDefault="0089450C" w:rsidP="0089450C">
      <w:pPr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27" o:spid="_x0000_s1051" type="#_x0000_t32" style="position:absolute;left:0;text-align:left;margin-left:592.85pt;margin-top:21.2pt;width:.05pt;height:23.4pt;z-index:251685888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28" o:spid="_x0000_s1052" type="#_x0000_t32" style="position:absolute;left:0;text-align:left;margin-left:423.6pt;margin-top:21.2pt;width:.05pt;height:23.4pt;z-index:251686912" o:connectortype="straight"/>
        </w:pict>
      </w:r>
    </w:p>
    <w:p w:rsidR="0089450C" w:rsidRDefault="0089450C" w:rsidP="0089450C">
      <w:pPr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22" o:spid="_x0000_s1046" type="#_x0000_t202" style="position:absolute;left:0;text-align:left;margin-left:519.75pt;margin-top:13.4pt;width:122.8pt;height:39.85pt;z-index:251680768">
            <v:textbox style="mso-fit-shape-to-text:t">
              <w:txbxContent>
                <w:p w:rsidR="0089450C" w:rsidRDefault="0089450C" w:rsidP="0089450C">
                  <w:r>
                    <w:rPr>
                      <w:rFonts w:hint="eastAsia"/>
                    </w:rPr>
                    <w:t>糖尿病教育评估并决定治疗方案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21" o:spid="_x0000_s1045" type="#_x0000_t202" style="position:absolute;left:0;text-align:left;margin-left:366.95pt;margin-top:13.4pt;width:122.8pt;height:39.85pt;z-index:251679744">
            <v:textbox style="mso-fit-shape-to-text:t">
              <w:txbxContent>
                <w:p w:rsidR="0089450C" w:rsidRDefault="0089450C" w:rsidP="0089450C">
                  <w:r>
                    <w:rPr>
                      <w:rFonts w:hint="eastAsia"/>
                    </w:rPr>
                    <w:t>每年二级及以上中医类医院复诊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39" o:spid="_x0000_s1063" type="#_x0000_t32" style="position:absolute;left:0;text-align:left;margin-left:68.25pt;margin-top:23.4pt;width:.05pt;height:23.4pt;z-index:251698176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38" o:spid="_x0000_s1062" type="#_x0000_t32" style="position:absolute;left:0;text-align:left;margin-left:262.5pt;margin-top:23.4pt;width:.05pt;height:23.4pt;z-index:251697152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37" o:spid="_x0000_s1061" type="#_x0000_t32" style="position:absolute;left:0;text-align:left;margin-left:68.25pt;margin-top:23.4pt;width:194.25pt;height:.05pt;z-index:251696128" o:connectortype="straight"/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AutoShape 36" o:spid="_x0000_s1060" type="#_x0000_t32" style="position:absolute;left:0;text-align:left;margin-left:168pt;margin-top:0;width:.05pt;height:23.4pt;z-index:251695104" o:connectortype="straight"/>
        </w:pict>
      </w:r>
    </w:p>
    <w:p w:rsidR="0089450C" w:rsidRDefault="0089450C" w:rsidP="0089450C">
      <w:pPr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/>
          <w:b/>
          <w:color w:val="FF0000"/>
          <w:sz w:val="32"/>
          <w:szCs w:val="32"/>
          <w:lang w:val="zh-CN"/>
        </w:rPr>
        <w:pict>
          <v:shape id="Text Box 40" o:spid="_x0000_s1064" type="#_x0000_t202" style="position:absolute;left:0;text-align:left;margin-left:199.5pt;margin-top:15.6pt;width:123.4pt;height:39.85pt;z-index:251699200">
            <v:textbox style="mso-fit-shape-to-text:t">
              <w:txbxContent>
                <w:p w:rsidR="0089450C" w:rsidRDefault="0089450C" w:rsidP="0089450C">
                  <w:r>
                    <w:rPr>
                      <w:rFonts w:hint="eastAsia"/>
                    </w:rPr>
                    <w:t>转至二级及以上中医类医院处理</w:t>
                  </w:r>
                </w:p>
              </w:txbxContent>
            </v:textbox>
          </v:shape>
        </w:pict>
      </w:r>
      <w:r>
        <w:rPr>
          <w:rFonts w:ascii="仿宋" w:eastAsia="仿宋" w:hAnsi="仿宋"/>
          <w:b/>
          <w:color w:val="FF0000"/>
          <w:sz w:val="28"/>
          <w:szCs w:val="28"/>
          <w:lang w:val="zh-CN"/>
        </w:rPr>
        <w:pict>
          <v:shape id="Text Box 14" o:spid="_x0000_s1038" type="#_x0000_t202" style="position:absolute;left:0;text-align:left;margin-left:5.25pt;margin-top:15.6pt;width:123.4pt;height:39.85pt;z-index:251672576">
            <v:textbox style="mso-fit-shape-to-text:t">
              <w:txbxContent>
                <w:p w:rsidR="0089450C" w:rsidRDefault="0089450C" w:rsidP="0089450C">
                  <w:r>
                    <w:rPr>
                      <w:rFonts w:hint="eastAsia"/>
                    </w:rPr>
                    <w:t>每年二级及以上中医类医院筛查并发症</w:t>
                  </w:r>
                </w:p>
              </w:txbxContent>
            </v:textbox>
          </v:shape>
        </w:pict>
      </w:r>
    </w:p>
    <w:p w:rsidR="0089450C" w:rsidRDefault="0089450C" w:rsidP="0089450C">
      <w:pPr>
        <w:rPr>
          <w:rFonts w:ascii="仿宋" w:eastAsia="仿宋" w:hAnsi="仿宋"/>
          <w:b/>
          <w:color w:val="FF0000"/>
          <w:sz w:val="32"/>
          <w:szCs w:val="32"/>
        </w:rPr>
      </w:pPr>
    </w:p>
    <w:p w:rsidR="0089450C" w:rsidRDefault="0089450C" w:rsidP="0089450C">
      <w:pPr>
        <w:spacing w:line="360" w:lineRule="auto"/>
        <w:rPr>
          <w:rFonts w:ascii="楷体_GB2312" w:eastAsia="楷体_GB2312" w:hAnsi="楷体" w:hint="eastAsia"/>
          <w:b/>
          <w:sz w:val="32"/>
          <w:szCs w:val="32"/>
        </w:rPr>
        <w:sectPr w:rsidR="0089450C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:rsidR="0089450C" w:rsidRDefault="0089450C" w:rsidP="0089450C">
      <w:pPr>
        <w:spacing w:line="360" w:lineRule="auto"/>
        <w:ind w:firstLineChars="196" w:firstLine="630"/>
        <w:rPr>
          <w:rFonts w:ascii="仿宋" w:eastAsia="仿宋" w:hAnsi="仿宋"/>
          <w:b/>
          <w:color w:val="FF0000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lastRenderedPageBreak/>
        <w:t>（三）双向转诊标准。</w:t>
      </w:r>
    </w:p>
    <w:p w:rsidR="0089450C" w:rsidRDefault="0089450C" w:rsidP="0089450C">
      <w:pPr>
        <w:ind w:firstLineChars="250" w:firstLine="803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1.上转至二级及以上中医类医院的标准。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如有以下情况之一：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（1）基层医疗卫生机构不能提供糖尿病中医辨证治疗或中药饮片服务时。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（2）经中医药综合治疗2周之后，血糖未达到“满意”控制目标或症状未改善者。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（3）其他上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转标准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同附件3。</w:t>
      </w:r>
    </w:p>
    <w:p w:rsidR="0089450C" w:rsidRDefault="0089450C" w:rsidP="0089450C">
      <w:pPr>
        <w:ind w:firstLineChars="250" w:firstLine="80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2.下转至基层医疗卫生机构的标准。</w:t>
      </w:r>
      <w:r>
        <w:rPr>
          <w:rFonts w:ascii="仿宋_GB2312" w:eastAsia="仿宋_GB2312" w:hAnsi="仿宋_GB2312" w:cs="仿宋_GB2312" w:hint="eastAsia"/>
          <w:sz w:val="32"/>
          <w:szCs w:val="32"/>
        </w:rPr>
        <w:t>经中医药治疗，血糖达到“满意”控制目标或症状改善，已确定中医辨证治疗方案或中成药治疗方案者。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其他下转标准同附件3。</w:t>
      </w:r>
    </w:p>
    <w:p w:rsidR="0089450C" w:rsidRDefault="0089450C" w:rsidP="0089450C">
      <w:pPr>
        <w:ind w:firstLineChars="250" w:firstLine="80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二、糖尿病患者筛查、诊断与评估</w:t>
      </w:r>
    </w:p>
    <w:p w:rsidR="0089450C" w:rsidRDefault="0089450C" w:rsidP="0089450C">
      <w:pPr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（一）糖尿病筛查。</w:t>
      </w:r>
      <w:r>
        <w:rPr>
          <w:rFonts w:ascii="仿宋_GB2312" w:eastAsia="仿宋_GB2312" w:hAnsi="仿宋_GB2312" w:cs="仿宋_GB2312" w:hint="eastAsia"/>
          <w:sz w:val="32"/>
          <w:szCs w:val="32"/>
        </w:rPr>
        <w:t>同附件3。</w:t>
      </w:r>
    </w:p>
    <w:p w:rsidR="0089450C" w:rsidRDefault="0089450C" w:rsidP="0089450C">
      <w:pPr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（二）</w:t>
      </w:r>
      <w:r>
        <w:rPr>
          <w:rFonts w:ascii="楷体" w:eastAsia="楷体" w:hAnsi="楷体" w:hint="eastAsia"/>
          <w:b/>
          <w:sz w:val="32"/>
          <w:szCs w:val="32"/>
        </w:rPr>
        <w:t>糖尿</w:t>
      </w:r>
      <w:r>
        <w:rPr>
          <w:rFonts w:ascii="楷体_GB2312" w:eastAsia="楷体_GB2312" w:hAnsi="楷体" w:hint="eastAsia"/>
          <w:b/>
          <w:sz w:val="32"/>
          <w:szCs w:val="32"/>
        </w:rPr>
        <w:t>病高危人群。</w:t>
      </w:r>
      <w:r>
        <w:rPr>
          <w:rFonts w:ascii="仿宋_GB2312" w:eastAsia="仿宋_GB2312" w:hAnsi="仿宋_GB2312" w:cs="仿宋_GB2312" w:hint="eastAsia"/>
          <w:sz w:val="32"/>
          <w:szCs w:val="32"/>
        </w:rPr>
        <w:t>同附件3。</w:t>
      </w:r>
    </w:p>
    <w:p w:rsidR="0089450C" w:rsidRDefault="0089450C" w:rsidP="0089450C">
      <w:pPr>
        <w:ind w:firstLineChars="196" w:firstLine="63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（三）糖尿病诊断。</w:t>
      </w:r>
      <w:r>
        <w:rPr>
          <w:rFonts w:ascii="仿宋_GB2312" w:eastAsia="仿宋_GB2312" w:hAnsi="仿宋_GB2312" w:cs="仿宋_GB2312" w:hint="eastAsia"/>
          <w:sz w:val="32"/>
          <w:szCs w:val="32"/>
        </w:rPr>
        <w:t>由二级及以上中医类医院专科医生确诊，对不能确诊者提出进一步诊查建议。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经培训考核合格的社区全科医生具备糖尿病诊疗资质，可在医疗机构根据患者检查结果做出诊断，诊断有困难者，应及时转至二级及以上中医类医院。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其他见附件3。</w:t>
      </w:r>
    </w:p>
    <w:p w:rsidR="0089450C" w:rsidRDefault="0089450C" w:rsidP="0089450C">
      <w:pPr>
        <w:ind w:firstLineChars="196" w:firstLine="630"/>
        <w:rPr>
          <w:rFonts w:ascii="楷体_GB2312" w:eastAsia="楷体_GB2312" w:hAnsi="楷体"/>
          <w:b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（四）糖尿病患者初次评估。</w:t>
      </w:r>
    </w:p>
    <w:p w:rsidR="0089450C" w:rsidRDefault="0089450C" w:rsidP="0089450C">
      <w:pPr>
        <w:ind w:firstLineChars="250" w:firstLine="803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lastRenderedPageBreak/>
        <w:t>发挥中医证候辨识作用。</w:t>
      </w:r>
      <w:r>
        <w:rPr>
          <w:rFonts w:ascii="仿宋_GB2312" w:eastAsia="仿宋_GB2312" w:hAnsi="仿宋_GB2312" w:cs="仿宋_GB2312" w:hint="eastAsia"/>
          <w:sz w:val="32"/>
          <w:szCs w:val="32"/>
        </w:rPr>
        <w:t>遵循“四诊合参”的原则，重点进行病史、症状与体征、舌脉诊等综合信息采集。</w:t>
      </w:r>
    </w:p>
    <w:p w:rsidR="0089450C" w:rsidRDefault="0089450C" w:rsidP="0089450C">
      <w:pPr>
        <w:ind w:firstLineChars="250" w:firstLine="8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其他同附件3。</w:t>
      </w:r>
    </w:p>
    <w:p w:rsidR="0089450C" w:rsidRDefault="0089450C" w:rsidP="0089450C">
      <w:pPr>
        <w:ind w:firstLineChars="250" w:firstLine="80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三、糖尿病患者的治疗</w:t>
      </w:r>
    </w:p>
    <w:p w:rsidR="0089450C" w:rsidRDefault="0089450C" w:rsidP="0089450C">
      <w:pPr>
        <w:ind w:firstLineChars="196" w:firstLine="63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（一）治疗目标。</w:t>
      </w:r>
      <w:r>
        <w:rPr>
          <w:rFonts w:ascii="仿宋_GB2312" w:eastAsia="仿宋_GB2312" w:hAnsi="仿宋_GB2312" w:cs="仿宋_GB2312" w:hint="eastAsia"/>
          <w:sz w:val="32"/>
          <w:szCs w:val="32"/>
        </w:rPr>
        <w:t>综合患者“四诊”信息，确定个体化的综合治疗目标。帮助患者制定饮食、运动和心理调整方案。肥胖者确定减轻体重的目标。建议患者戒烟、限酒，并戒除不良生活习惯如饮食过甜过咸、喜静少动、熬夜等。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其他见附件3。</w:t>
      </w:r>
    </w:p>
    <w:p w:rsidR="0089450C" w:rsidRDefault="0089450C" w:rsidP="0089450C">
      <w:pPr>
        <w:ind w:firstLineChars="200" w:firstLine="643"/>
        <w:rPr>
          <w:rFonts w:ascii="楷体_GB2312" w:eastAsia="楷体_GB2312" w:hAnsi="楷体"/>
          <w:b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（二）中医健康</w:t>
      </w:r>
      <w:r>
        <w:rPr>
          <w:rFonts w:ascii="楷体_GB2312" w:eastAsia="楷体_GB2312" w:hAnsi="楷体"/>
          <w:b/>
          <w:sz w:val="32"/>
          <w:szCs w:val="32"/>
        </w:rPr>
        <w:t>管理</w:t>
      </w:r>
      <w:r>
        <w:rPr>
          <w:rFonts w:ascii="楷体_GB2312" w:eastAsia="楷体_GB2312" w:hAnsi="楷体" w:hint="eastAsia"/>
          <w:b/>
          <w:sz w:val="32"/>
          <w:szCs w:val="32"/>
        </w:rPr>
        <w:t>。</w:t>
      </w:r>
    </w:p>
    <w:p w:rsidR="0089450C" w:rsidRDefault="0089450C" w:rsidP="0089450C">
      <w:pPr>
        <w:ind w:firstLineChars="196" w:firstLine="630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1.健康体检。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（1）中医健康状态评估：体质辨识或辨证。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（2）理化检查：身高、体重、BMI、腰围、臀围、血压、血脂、血糖（空腹、餐后，必要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时测多点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血糖或动态血糖监测）、糖化血红蛋白、肝肾功能、尿常规、尿微量白蛋白和尿肌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酐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、心电图、视力和眼底检查、足部检查、颈动脉超声、双下肢动脉超声等。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（3）建议管理对象每年体检一次。</w:t>
      </w:r>
    </w:p>
    <w:p w:rsidR="0089450C" w:rsidRDefault="0089450C" w:rsidP="0089450C">
      <w:pPr>
        <w:ind w:firstLineChars="196" w:firstLine="630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2.行为干预。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（1）辨证施膳。根据患者中医辨证或体质辨识和食物性味归经给予膳食指导，同时，指导患者控制总热量的摄入、脂肪摄入和含糖、盐量高的食物摄入量。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（2）运动调养。为管理对象个体化选择恰当的运动方式(慢跑、快走、散步、导引、太极拳、八段锦、五禽戏、六字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等)、运动量、运动时间和频度。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（3）情志调理。为患者辨证选择不同的音乐和娱乐活动等，调畅情志，愉悦心情。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（4）戒烟限酒。</w:t>
      </w:r>
    </w:p>
    <w:p w:rsidR="0089450C" w:rsidRDefault="0089450C" w:rsidP="0089450C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" w:eastAsia="楷体" w:hAnsi="楷体"/>
          <w:b/>
          <w:sz w:val="32"/>
          <w:szCs w:val="32"/>
        </w:rPr>
        <w:t xml:space="preserve">    </w:t>
      </w:r>
      <w:r>
        <w:rPr>
          <w:rFonts w:ascii="楷体" w:eastAsia="楷体" w:hAnsi="楷体" w:hint="eastAsia"/>
          <w:b/>
          <w:sz w:val="32"/>
          <w:szCs w:val="32"/>
        </w:rPr>
        <w:t>（三）中医药治疗。</w:t>
      </w:r>
      <w:r>
        <w:rPr>
          <w:rFonts w:ascii="仿宋_GB2312" w:eastAsia="仿宋_GB2312" w:hAnsi="仿宋_GB2312" w:cs="仿宋_GB2312" w:hint="eastAsia"/>
          <w:sz w:val="32"/>
          <w:szCs w:val="32"/>
        </w:rPr>
        <w:t>根据患者的具体病情，参照中华中医药学会2007年发布的《糖尿病中医防治指南》（ZYYXH/T3.1—3.15—2007）合理处方用药，并合理选择非药物疗法。个体化治疗方案制定以方便、可及、适用、价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廉效优为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主要原则，结合社区的实际情况，充分考虑治疗方案对患者的便利性和可操作性，有利于患者依从性的提高及社区日常管理的可持续性。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其他治疗见附件3。</w:t>
      </w:r>
    </w:p>
    <w:p w:rsidR="0089450C" w:rsidRDefault="0089450C" w:rsidP="0089450C">
      <w:pPr>
        <w:ind w:firstLineChars="250" w:firstLine="80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四、糖尿病患者的管理</w:t>
      </w:r>
    </w:p>
    <w:p w:rsidR="0089450C" w:rsidRDefault="0089450C" w:rsidP="0089450C">
      <w:pPr>
        <w:ind w:firstLineChars="250" w:firstLine="80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（一）患者分类管理标准。</w:t>
      </w:r>
      <w:r>
        <w:rPr>
          <w:rFonts w:ascii="仿宋_GB2312" w:eastAsia="仿宋_GB2312" w:hAnsi="仿宋_GB2312" w:cs="仿宋_GB2312" w:hint="eastAsia"/>
          <w:sz w:val="32"/>
          <w:szCs w:val="32"/>
        </w:rPr>
        <w:t>同附件3。</w:t>
      </w:r>
    </w:p>
    <w:p w:rsidR="0089450C" w:rsidRDefault="0089450C" w:rsidP="0089450C">
      <w:pPr>
        <w:ind w:firstLineChars="250" w:firstLine="80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（二）患者分类管理方式与内容。</w:t>
      </w:r>
      <w:r>
        <w:rPr>
          <w:rFonts w:ascii="仿宋_GB2312" w:eastAsia="仿宋_GB2312" w:hAnsi="仿宋_GB2312" w:cs="仿宋_GB2312" w:hint="eastAsia"/>
          <w:sz w:val="32"/>
          <w:szCs w:val="32"/>
        </w:rPr>
        <w:t>在患者随访管理中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增加中医辨证，常规管理为</w:t>
      </w:r>
      <w:proofErr w:type="gramStart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每2月</w:t>
      </w:r>
      <w:proofErr w:type="gramEnd"/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1次，强化管理为每月1次。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其他同附件3。</w:t>
      </w:r>
    </w:p>
    <w:p w:rsidR="0089450C" w:rsidRDefault="0089450C" w:rsidP="0089450C">
      <w:pPr>
        <w:ind w:firstLineChars="196" w:firstLine="630"/>
        <w:rPr>
          <w:rFonts w:ascii="楷体" w:eastAsia="楷体" w:hAnsi="楷体" w:hint="eastAsia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（三）患者自我管理。</w:t>
      </w:r>
    </w:p>
    <w:p w:rsidR="0089450C" w:rsidRDefault="0089450C" w:rsidP="0089450C">
      <w:pPr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自我管理小组管理指标增加中医指标：</w:t>
      </w:r>
      <w:r>
        <w:rPr>
          <w:rFonts w:ascii="仿宋_GB2312" w:eastAsia="仿宋_GB2312" w:hAnsi="仿宋_GB2312" w:cs="仿宋_GB2312" w:hint="eastAsia"/>
          <w:sz w:val="32"/>
          <w:szCs w:val="32"/>
        </w:rPr>
        <w:t>糖尿病中医药防治知识知晓率。</w:t>
      </w:r>
    </w:p>
    <w:p w:rsidR="0089450C" w:rsidRDefault="0089450C" w:rsidP="0089450C">
      <w:pPr>
        <w:shd w:val="clear" w:color="auto" w:fill="FFFFFF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其他见附件3。</w:t>
      </w:r>
    </w:p>
    <w:p w:rsidR="0089450C" w:rsidRDefault="0089450C" w:rsidP="0089450C">
      <w:pPr>
        <w:ind w:firstLineChars="250" w:firstLine="80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（四）糖尿病患者并发症及合并疾病的中医检查。</w:t>
      </w:r>
      <w:r>
        <w:rPr>
          <w:rFonts w:ascii="仿宋_GB2312" w:eastAsia="仿宋_GB2312" w:hAnsi="仿宋_GB2312" w:cs="仿宋_GB2312" w:hint="eastAsia"/>
          <w:sz w:val="32"/>
          <w:szCs w:val="32"/>
        </w:rPr>
        <w:t>在监测项目中，中医辨证的监测频率为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每2月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一次，且每年必须至少有2次中医辨证在二级及以上中医类医院进行；症状积分的监测频率为每月一次，可在所有医疗机构进行。其他同附件3。</w:t>
      </w:r>
    </w:p>
    <w:p w:rsidR="002E0361" w:rsidRDefault="002E0361"/>
    <w:sectPr w:rsidR="002E0361" w:rsidSect="002E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410" w:rsidRDefault="00795F74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left:0;text-align:left;margin-left:0;margin-top:0;width:2in;height:2in;z-index:251660288;mso-wrap-style:none;mso-position-horizontal:center;mso-position-horizontal-relative:margin" filled="f" stroked="f" strokeweight="1.25pt">
          <v:fill o:detectmouseclick="t"/>
          <v:textbox style="mso-fit-shape-to-text:t" inset="0,0,0,0">
            <w:txbxContent>
              <w:p w:rsidR="007E5410" w:rsidRDefault="00795F74">
                <w:pPr>
                  <w:pStyle w:val="a4"/>
                  <w:jc w:val="center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 w:rsidR="0089450C">
                  <w:rPr>
                    <w:noProof/>
                  </w:rPr>
                  <w:t>1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7E5410" w:rsidRDefault="00795F74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410" w:rsidRDefault="00795F7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89450C"/>
    <w:rsid w:val="002E0361"/>
    <w:rsid w:val="00795F74"/>
    <w:rsid w:val="0089450C"/>
    <w:rsid w:val="00997F62"/>
    <w:rsid w:val="009D77F2"/>
    <w:rsid w:val="00FB3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AutoShape 7"/>
        <o:r id="V:Rule2" type="connector" idref="#AutoShape 8"/>
        <o:r id="V:Rule3" type="connector" idref="#AutoShape 9"/>
        <o:r id="V:Rule4" type="connector" idref="#AutoShape 11"/>
        <o:r id="V:Rule5" type="connector" idref="#AutoShape 13"/>
        <o:r id="V:Rule6" type="connector" idref="#AutoShape 15"/>
        <o:r id="V:Rule7" type="connector" idref="#AutoShape 17"/>
        <o:r id="V:Rule8" type="connector" idref="#AutoShape 18"/>
        <o:r id="V:Rule9" type="connector" idref="#AutoShape 23"/>
        <o:r id="V:Rule10" type="connector" idref="#AutoShape 24"/>
        <o:r id="V:Rule11" type="connector" idref="#AutoShape 25"/>
        <o:r id="V:Rule12" type="connector" idref="#AutoShape 26"/>
        <o:r id="V:Rule13" type="connector" idref="#AutoShape 27"/>
        <o:r id="V:Rule14" type="connector" idref="#AutoShape 28"/>
        <o:r id="V:Rule15" type="connector" idref="#AutoShape 29"/>
        <o:r id="V:Rule16" type="connector" idref="#AutoShape 30"/>
        <o:r id="V:Rule17" type="connector" idref="#AutoShape 31"/>
        <o:r id="V:Rule18" type="connector" idref="#AutoShape 32"/>
        <o:r id="V:Rule19" type="connector" idref="#AutoShape 33"/>
        <o:r id="V:Rule20" type="connector" idref="#AutoShape 34"/>
        <o:r id="V:Rule21" type="connector" idref="#AutoShape 36"/>
        <o:r id="V:Rule22" type="connector" idref="#AutoShape 37"/>
        <o:r id="V:Rule23" type="connector" idref="#AutoShape 38"/>
        <o:r id="V:Rule24" type="connector" idref="#AutoShape 3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50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94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9450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894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9450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265</Words>
  <Characters>1512</Characters>
  <Application>Microsoft Office Word</Application>
  <DocSecurity>0</DocSecurity>
  <Lines>12</Lines>
  <Paragraphs>3</Paragraphs>
  <ScaleCrop>false</ScaleCrop>
  <Company>微软中国</Company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2015-12-01T03:37:00Z</dcterms:created>
  <dcterms:modified xsi:type="dcterms:W3CDTF">2015-12-01T03:38:00Z</dcterms:modified>
</cp:coreProperties>
</file>