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附件1：</w:t>
      </w:r>
    </w:p>
    <w:p>
      <w:pPr>
        <w:spacing w:line="560" w:lineRule="exact"/>
        <w:jc w:val="left"/>
        <w:rPr>
          <w:rFonts w:hint="eastAsia" w:ascii="仿宋_GB2312" w:hAnsi="宋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国家中医药管理局2017年度国家科技奖励推荐项目简表</w:t>
      </w:r>
    </w:p>
    <w:tbl>
      <w:tblPr>
        <w:tblStyle w:val="3"/>
        <w:tblW w:w="1376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984"/>
        <w:gridCol w:w="4253"/>
        <w:gridCol w:w="2693"/>
        <w:gridCol w:w="39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42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6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第一完成单位</w:t>
            </w:r>
          </w:p>
        </w:tc>
        <w:tc>
          <w:tcPr>
            <w:tcW w:w="39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主要完成人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神经根型颈椎病中医综合方案与手法评价系统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中国中医科学院望京医院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朱立国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、冯敏山、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魏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、王  平、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李金学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高景华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、黄远灿、孙树椿、杨克新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熊胆药用特有价值及熊胆粉产业化关键技术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黑龙江中医药大学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王喜军、刘继德、吴修红、孙  晖、</w:t>
            </w:r>
          </w:p>
          <w:p>
            <w:pPr>
              <w:widowControl/>
              <w:ind w:firstLine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靳  喆、张爱华、张  宁、辛  笛、</w:t>
            </w:r>
          </w:p>
          <w:p>
            <w:pPr>
              <w:widowControl/>
              <w:ind w:firstLine="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杨  波、李丽静、孟祥才、朴成玉、</w:t>
            </w:r>
          </w:p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王  萍、闫广利、韩莹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Ansi="仿宋" w:eastAsia="仿宋"/>
                <w:color w:val="0D0D0D"/>
                <w:sz w:val="24"/>
              </w:rPr>
              <w:t>基于整体观的数字制药工程理论及其中药工业应用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ind w:firstLine="0"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程翼宇、张俊华、叶正良、方同华、张艳军、唐仁茂、范骁辉、许照芹、李  正、项彦华、王书芳、王春生、</w:t>
            </w:r>
          </w:p>
          <w:p>
            <w:pPr>
              <w:ind w:firstLine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李云飞、岳大彪、秦林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6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hAnsi="仿宋" w:eastAsia="仿宋"/>
                <w:color w:val="0D0D0D"/>
                <w:sz w:val="24"/>
              </w:rPr>
            </w:pPr>
            <w:r>
              <w:rPr>
                <w:rFonts w:hint="eastAsia" w:hAnsi="仿宋" w:eastAsia="仿宋"/>
                <w:color w:val="0D0D0D"/>
                <w:sz w:val="24"/>
              </w:rPr>
              <w:t>国家科技进步奖</w:t>
            </w:r>
          </w:p>
        </w:tc>
        <w:tc>
          <w:tcPr>
            <w:tcW w:w="42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hAnsi="仿宋" w:eastAsia="仿宋"/>
                <w:color w:val="0D0D0D"/>
                <w:sz w:val="24"/>
              </w:rPr>
            </w:pPr>
            <w:r>
              <w:rPr>
                <w:rFonts w:hint="eastAsia" w:hAnsi="仿宋" w:eastAsia="仿宋"/>
                <w:color w:val="0D0D0D"/>
                <w:sz w:val="24"/>
              </w:rPr>
              <w:t>中医“胆病从肝论治”理论的创立与系列新药开发及现代化研究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hAnsi="仿宋" w:eastAsia="仿宋"/>
                <w:color w:val="0D0D0D"/>
                <w:sz w:val="24"/>
              </w:rPr>
            </w:pPr>
            <w:r>
              <w:rPr>
                <w:rFonts w:hint="eastAsia" w:hAnsi="仿宋" w:eastAsia="仿宋"/>
                <w:color w:val="0D0D0D"/>
                <w:sz w:val="24"/>
              </w:rPr>
              <w:t>上海中医药大学附属龙华医院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ind w:firstLine="0"/>
              <w:jc w:val="left"/>
              <w:rPr>
                <w:rFonts w:hAnsi="仿宋" w:eastAsia="仿宋"/>
                <w:color w:val="0D0D0D"/>
                <w:sz w:val="24"/>
              </w:rPr>
            </w:pPr>
            <w:r>
              <w:rPr>
                <w:rFonts w:hint="eastAsia" w:hAnsi="仿宋" w:eastAsia="仿宋"/>
                <w:color w:val="0D0D0D"/>
                <w:sz w:val="24"/>
              </w:rPr>
              <w:t>朱培庭、张静喆、方邦江、章学林、顾宏刚、郑培永、李  炯、梁晓强、詹常森、高  炬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A3478"/>
    <w:rsid w:val="556A34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eastAsia="仿宋_GB2312"/>
      <w:kern w:val="2"/>
      <w:sz w:val="30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2017-01-12T12:58:00Z</dcterms:created>
  <dc:creator>Mr.yang</dc:creator>
  <cp:lastModifiedBy>Mr.yang</cp:lastModifiedBy>
  <dcterms:modified xsi:type="dcterms:W3CDTF">2017-01-12T12:59:21Z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