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0893" w:rsidRPr="00E8720A" w:rsidRDefault="00160893" w:rsidP="00160893">
      <w:pPr>
        <w:spacing w:line="560" w:lineRule="exact"/>
        <w:jc w:val="center"/>
        <w:rPr>
          <w:rFonts w:ascii="方正小标宋简体" w:eastAsia="方正小标宋简体" w:hAnsi="黑体"/>
          <w:sz w:val="36"/>
        </w:rPr>
      </w:pPr>
      <w:r w:rsidRPr="00E8720A">
        <w:rPr>
          <w:rFonts w:ascii="方正小标宋简体" w:eastAsia="方正小标宋简体" w:hAnsi="黑体" w:hint="eastAsia"/>
          <w:sz w:val="36"/>
        </w:rPr>
        <w:t>古代经典名方目录制定的遴选范围与遴选原则</w:t>
      </w:r>
    </w:p>
    <w:p w:rsidR="00160893" w:rsidRPr="00E8720A" w:rsidRDefault="00160893" w:rsidP="00160893">
      <w:pPr>
        <w:pStyle w:val="a7"/>
        <w:numPr>
          <w:ilvl w:val="0"/>
          <w:numId w:val="1"/>
        </w:numPr>
        <w:spacing w:line="560" w:lineRule="exact"/>
        <w:ind w:firstLineChars="0"/>
        <w:rPr>
          <w:rFonts w:ascii="黑体" w:eastAsia="黑体" w:hAnsi="黑体"/>
          <w:sz w:val="32"/>
        </w:rPr>
      </w:pPr>
      <w:r w:rsidRPr="00E8720A">
        <w:rPr>
          <w:rFonts w:ascii="黑体" w:eastAsia="黑体" w:hAnsi="黑体" w:hint="eastAsia"/>
          <w:sz w:val="32"/>
        </w:rPr>
        <w:t>遴选范围</w:t>
      </w:r>
    </w:p>
    <w:p w:rsidR="00160893" w:rsidRPr="008828D3" w:rsidRDefault="00160893" w:rsidP="00160893">
      <w:pPr>
        <w:spacing w:line="560" w:lineRule="exact"/>
        <w:ind w:firstLineChars="200" w:firstLine="600"/>
        <w:rPr>
          <w:rFonts w:ascii="仿宋_GB2312" w:eastAsia="仿宋_GB2312" w:hAnsi="华文楷体"/>
          <w:bCs/>
          <w:sz w:val="30"/>
        </w:rPr>
      </w:pPr>
      <w:r>
        <w:rPr>
          <w:rFonts w:ascii="仿宋_GB2312" w:eastAsia="仿宋_GB2312" w:hAnsi="华文楷体" w:hint="eastAsia"/>
          <w:bCs/>
          <w:sz w:val="30"/>
        </w:rPr>
        <w:t>依据</w:t>
      </w:r>
      <w:r w:rsidRPr="008828D3">
        <w:rPr>
          <w:rFonts w:ascii="仿宋_GB2312" w:eastAsia="仿宋_GB2312" w:hAnsi="华文楷体" w:hint="eastAsia"/>
          <w:bCs/>
          <w:sz w:val="30"/>
        </w:rPr>
        <w:t>《中药注册管理补充规定》第七条</w:t>
      </w:r>
      <w:r w:rsidRPr="008828D3" w:rsidDel="00F2065A">
        <w:rPr>
          <w:rFonts w:ascii="仿宋_GB2312" w:eastAsia="仿宋_GB2312" w:hAnsi="华文楷体" w:hint="eastAsia"/>
          <w:bCs/>
          <w:sz w:val="30"/>
        </w:rPr>
        <w:t xml:space="preserve"> </w:t>
      </w:r>
      <w:r>
        <w:rPr>
          <w:rFonts w:ascii="仿宋_GB2312" w:eastAsia="仿宋_GB2312" w:hAnsi="华文楷体" w:hint="eastAsia"/>
          <w:bCs/>
          <w:sz w:val="30"/>
        </w:rPr>
        <w:t>“</w:t>
      </w:r>
      <w:r w:rsidRPr="00616177">
        <w:rPr>
          <w:rFonts w:ascii="仿宋_GB2312" w:eastAsia="仿宋_GB2312" w:hAnsi="华文楷体" w:hint="eastAsia"/>
          <w:bCs/>
          <w:sz w:val="30"/>
        </w:rPr>
        <w:t>来源于古代经典名方的中药复方制剂，是指目前仍广泛应用、疗效确切、具有明显特色与优势的清代及清代以前医籍所记载的方剂</w:t>
      </w:r>
      <w:r>
        <w:rPr>
          <w:rFonts w:ascii="仿宋_GB2312" w:eastAsia="仿宋_GB2312" w:hAnsi="华文楷体" w:hint="eastAsia"/>
          <w:bCs/>
          <w:sz w:val="30"/>
        </w:rPr>
        <w:t>”的规定，</w:t>
      </w:r>
      <w:r w:rsidRPr="008828D3">
        <w:rPr>
          <w:rFonts w:ascii="仿宋_GB2312" w:eastAsia="仿宋_GB2312" w:hAnsi="华文楷体" w:hint="eastAsia"/>
          <w:bCs/>
          <w:sz w:val="30"/>
        </w:rPr>
        <w:t>遴选</w:t>
      </w:r>
      <w:r>
        <w:rPr>
          <w:rFonts w:ascii="仿宋_GB2312" w:eastAsia="仿宋_GB2312" w:hAnsi="华文楷体" w:hint="eastAsia"/>
          <w:bCs/>
          <w:sz w:val="30"/>
        </w:rPr>
        <w:t>范围界定为：</w:t>
      </w:r>
      <w:r w:rsidRPr="008828D3">
        <w:rPr>
          <w:rFonts w:ascii="仿宋_GB2312" w:eastAsia="仿宋_GB2312" w:hAnsi="华文楷体"/>
          <w:bCs/>
          <w:sz w:val="30"/>
        </w:rPr>
        <w:t>1911</w:t>
      </w:r>
      <w:r w:rsidRPr="008828D3">
        <w:rPr>
          <w:rFonts w:ascii="仿宋_GB2312" w:eastAsia="仿宋_GB2312" w:hAnsi="华文楷体" w:hint="eastAsia"/>
          <w:bCs/>
          <w:sz w:val="30"/>
        </w:rPr>
        <w:t>年前</w:t>
      </w:r>
      <w:r>
        <w:rPr>
          <w:rFonts w:ascii="仿宋_GB2312" w:eastAsia="仿宋_GB2312" w:hAnsi="华文楷体" w:hint="eastAsia"/>
          <w:bCs/>
          <w:sz w:val="30"/>
        </w:rPr>
        <w:t>出版的</w:t>
      </w:r>
      <w:r w:rsidRPr="008828D3">
        <w:rPr>
          <w:rFonts w:ascii="仿宋_GB2312" w:eastAsia="仿宋_GB2312" w:hAnsi="华文楷体" w:hint="eastAsia"/>
          <w:bCs/>
          <w:sz w:val="30"/>
        </w:rPr>
        <w:t>古代医籍。</w:t>
      </w:r>
    </w:p>
    <w:p w:rsidR="00160893" w:rsidRPr="00E8720A" w:rsidRDefault="00160893" w:rsidP="00160893">
      <w:pPr>
        <w:spacing w:line="560" w:lineRule="exact"/>
        <w:ind w:firstLineChars="200" w:firstLine="640"/>
        <w:rPr>
          <w:rFonts w:ascii="黑体" w:eastAsia="黑体" w:hAnsi="黑体"/>
          <w:sz w:val="32"/>
        </w:rPr>
      </w:pPr>
      <w:r w:rsidRPr="00E8720A">
        <w:rPr>
          <w:rFonts w:ascii="黑体" w:eastAsia="黑体" w:hAnsi="黑体" w:hint="eastAsia"/>
          <w:sz w:val="32"/>
        </w:rPr>
        <w:t>二、遴选原则</w:t>
      </w:r>
    </w:p>
    <w:p w:rsidR="00160893" w:rsidRPr="00240BCD" w:rsidRDefault="00160893" w:rsidP="00240BCD">
      <w:pPr>
        <w:spacing w:line="560" w:lineRule="exact"/>
        <w:ind w:firstLineChars="200" w:firstLine="602"/>
        <w:rPr>
          <w:rFonts w:ascii="楷体" w:eastAsia="楷体" w:hAnsi="楷体"/>
          <w:b/>
          <w:bCs/>
          <w:sz w:val="30"/>
        </w:rPr>
      </w:pPr>
      <w:r w:rsidRPr="00240BCD">
        <w:rPr>
          <w:rFonts w:ascii="楷体" w:eastAsia="楷体" w:hAnsi="楷体" w:hint="eastAsia"/>
          <w:b/>
          <w:bCs/>
          <w:sz w:val="30"/>
        </w:rPr>
        <w:t>（一）总体要求</w:t>
      </w:r>
    </w:p>
    <w:p w:rsidR="00160893" w:rsidRDefault="00160893" w:rsidP="00160893">
      <w:pPr>
        <w:spacing w:line="560" w:lineRule="exact"/>
        <w:ind w:firstLineChars="200" w:firstLine="600"/>
        <w:rPr>
          <w:rFonts w:ascii="仿宋_GB2312" w:eastAsia="仿宋_GB2312" w:hAnsi="华文楷体"/>
          <w:bCs/>
          <w:sz w:val="30"/>
        </w:rPr>
      </w:pPr>
      <w:r w:rsidRPr="00591561">
        <w:rPr>
          <w:rFonts w:ascii="仿宋_GB2312" w:eastAsia="仿宋_GB2312" w:hAnsi="华文楷体" w:hint="eastAsia"/>
          <w:bCs/>
          <w:sz w:val="30"/>
        </w:rPr>
        <w:t>体现“目前仍广泛应用、疗效确切、具有明显特色及优势”；古代中有较多记载及医案证据，现代文献中有较多临床及实验研究报道；得到中医临床进一步凝练、权威专家广泛认可；各类中医药教材中广为收录等</w:t>
      </w:r>
      <w:r>
        <w:rPr>
          <w:rFonts w:ascii="仿宋_GB2312" w:eastAsia="仿宋_GB2312" w:hAnsi="华文楷体" w:hint="eastAsia"/>
          <w:bCs/>
          <w:sz w:val="30"/>
        </w:rPr>
        <w:t>。</w:t>
      </w:r>
    </w:p>
    <w:p w:rsidR="00160893" w:rsidRPr="00240BCD" w:rsidRDefault="00160893" w:rsidP="00240BCD">
      <w:pPr>
        <w:spacing w:line="560" w:lineRule="exact"/>
        <w:ind w:firstLineChars="200" w:firstLine="602"/>
        <w:rPr>
          <w:rFonts w:ascii="楷体" w:eastAsia="楷体" w:hAnsi="楷体"/>
          <w:b/>
          <w:bCs/>
          <w:sz w:val="30"/>
        </w:rPr>
      </w:pPr>
      <w:r w:rsidRPr="00240BCD">
        <w:rPr>
          <w:rFonts w:ascii="楷体" w:eastAsia="楷体" w:hAnsi="楷体" w:hint="eastAsia"/>
          <w:b/>
          <w:bCs/>
          <w:sz w:val="30"/>
        </w:rPr>
        <w:t>（二）具体原则</w:t>
      </w:r>
    </w:p>
    <w:p w:rsidR="00160893" w:rsidRPr="00591561" w:rsidRDefault="00160893" w:rsidP="00160893">
      <w:pPr>
        <w:spacing w:line="560" w:lineRule="exact"/>
        <w:ind w:firstLine="600"/>
        <w:rPr>
          <w:rFonts w:ascii="仿宋_GB2312" w:eastAsia="仿宋_GB2312" w:hAnsi="黑体"/>
          <w:bCs/>
          <w:sz w:val="30"/>
        </w:rPr>
      </w:pPr>
      <w:r>
        <w:rPr>
          <w:rFonts w:ascii="仿宋_GB2312" w:eastAsia="仿宋_GB2312" w:hAnsi="黑体" w:hint="eastAsia"/>
          <w:bCs/>
          <w:sz w:val="30"/>
        </w:rPr>
        <w:t>1.</w:t>
      </w:r>
      <w:r w:rsidRPr="00591561">
        <w:rPr>
          <w:rFonts w:ascii="仿宋_GB2312" w:eastAsia="仿宋_GB2312" w:hAnsi="黑体" w:hint="eastAsia"/>
          <w:bCs/>
          <w:sz w:val="30"/>
        </w:rPr>
        <w:t>以健康需求为导向，围绕中医优势病种选择方剂，主治要兼顾已上市中成药涉及较少的病证；处方中不含有《中华人民共和国药典》2015年版收载的大毒药材；处方中不涉及国家重点保护的野生动物药材品种目录的一级保护品种。</w:t>
      </w:r>
    </w:p>
    <w:p w:rsidR="00160893" w:rsidRPr="00591561" w:rsidRDefault="00160893" w:rsidP="00160893">
      <w:pPr>
        <w:spacing w:line="560" w:lineRule="exact"/>
        <w:ind w:firstLine="600"/>
        <w:rPr>
          <w:rFonts w:ascii="仿宋_GB2312" w:eastAsia="仿宋_GB2312" w:hAnsi="黑体"/>
          <w:bCs/>
          <w:sz w:val="30"/>
        </w:rPr>
      </w:pPr>
      <w:r>
        <w:rPr>
          <w:rFonts w:ascii="仿宋_GB2312" w:eastAsia="仿宋_GB2312" w:hAnsi="黑体" w:hint="eastAsia"/>
          <w:bCs/>
          <w:sz w:val="30"/>
        </w:rPr>
        <w:t>2.</w:t>
      </w:r>
      <w:r w:rsidRPr="00591561">
        <w:rPr>
          <w:rFonts w:ascii="仿宋_GB2312" w:eastAsia="仿宋_GB2312" w:hAnsi="黑体" w:hint="eastAsia"/>
          <w:bCs/>
          <w:sz w:val="30"/>
        </w:rPr>
        <w:t>处方中药味均按2015年版《药典》的法定标准；处方适合工业化生产，成药性较好；给药途径与古代医籍记载一致；处方中不含有十八反和十九畏等配伍禁忌。</w:t>
      </w:r>
    </w:p>
    <w:p w:rsidR="00160893" w:rsidRPr="00591561" w:rsidRDefault="00160893" w:rsidP="00160893">
      <w:pPr>
        <w:spacing w:line="560" w:lineRule="exact"/>
        <w:ind w:firstLine="600"/>
        <w:rPr>
          <w:rFonts w:ascii="仿宋_GB2312" w:eastAsia="仿宋_GB2312" w:hAnsi="黑体"/>
          <w:bCs/>
          <w:sz w:val="30"/>
        </w:rPr>
      </w:pPr>
      <w:r>
        <w:rPr>
          <w:rFonts w:ascii="仿宋_GB2312" w:eastAsia="仿宋_GB2312" w:hAnsi="黑体" w:hint="eastAsia"/>
          <w:bCs/>
          <w:sz w:val="30"/>
        </w:rPr>
        <w:t>3.</w:t>
      </w:r>
      <w:r w:rsidRPr="00591561">
        <w:rPr>
          <w:rFonts w:ascii="仿宋_GB2312" w:eastAsia="仿宋_GB2312" w:hAnsi="黑体" w:hint="eastAsia"/>
          <w:bCs/>
          <w:sz w:val="30"/>
        </w:rPr>
        <w:t>原则上处方适用范围不包括急症、危重症、传染病，不涉及孕妇、婴幼儿等特殊用药人群；但对确有疗效的、特色突出的方剂，酌情</w:t>
      </w:r>
      <w:r w:rsidR="00FD260C">
        <w:rPr>
          <w:rFonts w:ascii="仿宋_GB2312" w:eastAsia="仿宋_GB2312" w:hAnsi="黑体" w:hint="eastAsia"/>
          <w:bCs/>
          <w:sz w:val="30"/>
        </w:rPr>
        <w:t>列</w:t>
      </w:r>
      <w:r w:rsidRPr="00591561">
        <w:rPr>
          <w:rFonts w:ascii="仿宋_GB2312" w:eastAsia="仿宋_GB2312" w:hAnsi="黑体" w:hint="eastAsia"/>
          <w:bCs/>
          <w:sz w:val="30"/>
        </w:rPr>
        <w:t>入，以适应临床需求。</w:t>
      </w:r>
    </w:p>
    <w:p w:rsidR="000A6E01" w:rsidRPr="00183311" w:rsidRDefault="00160893" w:rsidP="00183311">
      <w:pPr>
        <w:spacing w:line="560" w:lineRule="exact"/>
        <w:ind w:firstLine="585"/>
        <w:rPr>
          <w:rFonts w:ascii="仿宋_GB2312" w:eastAsia="仿宋_GB2312" w:hAnsi="黑体" w:hint="eastAsia"/>
          <w:bCs/>
          <w:sz w:val="30"/>
        </w:rPr>
      </w:pPr>
      <w:r>
        <w:rPr>
          <w:rFonts w:ascii="仿宋_GB2312" w:eastAsia="仿宋_GB2312" w:hAnsi="黑体" w:hint="eastAsia"/>
          <w:bCs/>
          <w:sz w:val="30"/>
        </w:rPr>
        <w:t>4.</w:t>
      </w:r>
      <w:r w:rsidRPr="00591561">
        <w:rPr>
          <w:rFonts w:ascii="仿宋_GB2312" w:eastAsia="仿宋_GB2312" w:hAnsi="黑体" w:hint="eastAsia"/>
          <w:bCs/>
          <w:sz w:val="30"/>
        </w:rPr>
        <w:t xml:space="preserve">国内未上市品种。 </w:t>
      </w:r>
      <w:bookmarkStart w:id="0" w:name="_GoBack"/>
      <w:bookmarkEnd w:id="0"/>
    </w:p>
    <w:sectPr w:rsidR="000A6E01" w:rsidRPr="00183311" w:rsidSect="00D0558C">
      <w:pgSz w:w="11906" w:h="16838"/>
      <w:pgMar w:top="1474" w:right="1588" w:bottom="1474"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1DE1" w:rsidRDefault="00D41DE1" w:rsidP="000A6E01">
      <w:r>
        <w:separator/>
      </w:r>
    </w:p>
  </w:endnote>
  <w:endnote w:type="continuationSeparator" w:id="0">
    <w:p w:rsidR="00D41DE1" w:rsidRDefault="00D41DE1" w:rsidP="000A6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1DE1" w:rsidRDefault="00D41DE1" w:rsidP="000A6E01">
      <w:r>
        <w:separator/>
      </w:r>
    </w:p>
  </w:footnote>
  <w:footnote w:type="continuationSeparator" w:id="0">
    <w:p w:rsidR="00D41DE1" w:rsidRDefault="00D41DE1" w:rsidP="000A6E0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221F76"/>
    <w:multiLevelType w:val="hybridMultilevel"/>
    <w:tmpl w:val="E79E5E6A"/>
    <w:lvl w:ilvl="0" w:tplc="EC087DA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0ABD"/>
    <w:rsid w:val="000A6E01"/>
    <w:rsid w:val="00160893"/>
    <w:rsid w:val="00183311"/>
    <w:rsid w:val="00240BCD"/>
    <w:rsid w:val="006635F3"/>
    <w:rsid w:val="00817C62"/>
    <w:rsid w:val="008634D2"/>
    <w:rsid w:val="009C7728"/>
    <w:rsid w:val="00AA2F7B"/>
    <w:rsid w:val="00B051F0"/>
    <w:rsid w:val="00B60ABD"/>
    <w:rsid w:val="00C35BC0"/>
    <w:rsid w:val="00D41DE1"/>
    <w:rsid w:val="00FD26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9BB51C"/>
  <w15:docId w15:val="{7FE37BB7-4F50-4CE8-8274-9D3CAE643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A6E0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A6E01"/>
    <w:rPr>
      <w:sz w:val="18"/>
      <w:szCs w:val="18"/>
    </w:rPr>
  </w:style>
  <w:style w:type="paragraph" w:styleId="a5">
    <w:name w:val="footer"/>
    <w:basedOn w:val="a"/>
    <w:link w:val="a6"/>
    <w:uiPriority w:val="99"/>
    <w:unhideWhenUsed/>
    <w:rsid w:val="000A6E01"/>
    <w:pPr>
      <w:tabs>
        <w:tab w:val="center" w:pos="4153"/>
        <w:tab w:val="right" w:pos="8306"/>
      </w:tabs>
      <w:snapToGrid w:val="0"/>
      <w:jc w:val="left"/>
    </w:pPr>
    <w:rPr>
      <w:sz w:val="18"/>
      <w:szCs w:val="18"/>
    </w:rPr>
  </w:style>
  <w:style w:type="character" w:customStyle="1" w:styleId="a6">
    <w:name w:val="页脚 字符"/>
    <w:basedOn w:val="a0"/>
    <w:link w:val="a5"/>
    <w:uiPriority w:val="99"/>
    <w:rsid w:val="000A6E01"/>
    <w:rPr>
      <w:sz w:val="18"/>
      <w:szCs w:val="18"/>
    </w:rPr>
  </w:style>
  <w:style w:type="paragraph" w:styleId="a7">
    <w:name w:val="List Paragraph"/>
    <w:basedOn w:val="a"/>
    <w:uiPriority w:val="34"/>
    <w:qFormat/>
    <w:rsid w:val="0016089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76</Words>
  <Characters>437</Characters>
  <Application>Microsoft Office Word</Application>
  <DocSecurity>0</DocSecurity>
  <Lines>3</Lines>
  <Paragraphs>1</Paragraphs>
  <ScaleCrop>false</ScaleCrop>
  <Company/>
  <LinksUpToDate>false</LinksUpToDate>
  <CharactersWithSpaces>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huangyuan</dc:creator>
  <cp:keywords/>
  <dc:description/>
  <cp:lastModifiedBy>wolf red</cp:lastModifiedBy>
  <cp:revision>4</cp:revision>
  <dcterms:created xsi:type="dcterms:W3CDTF">2017-03-09T02:40:00Z</dcterms:created>
  <dcterms:modified xsi:type="dcterms:W3CDTF">2017-03-09T03:56:00Z</dcterms:modified>
</cp:coreProperties>
</file>