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830" w:rsidRDefault="00B40830" w:rsidP="00B40830">
      <w:pPr>
        <w:rPr>
          <w:rFonts w:ascii="黑体" w:eastAsia="黑体" w:hAnsi="黑体" w:cs="楷体" w:hint="eastAsia"/>
          <w:sz w:val="28"/>
          <w:szCs w:val="28"/>
        </w:rPr>
      </w:pPr>
      <w:r>
        <w:rPr>
          <w:rFonts w:ascii="黑体" w:eastAsia="黑体" w:hAnsi="黑体" w:cs="楷体" w:hint="eastAsia"/>
          <w:sz w:val="28"/>
          <w:szCs w:val="28"/>
        </w:rPr>
        <w:t>附件4</w:t>
      </w:r>
    </w:p>
    <w:p w:rsidR="00B40830" w:rsidRDefault="00B40830" w:rsidP="00B40830">
      <w:pPr>
        <w:spacing w:line="360" w:lineRule="auto"/>
        <w:rPr>
          <w:rFonts w:ascii="宋体" w:hAnsi="宋体" w:hint="eastAsia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 xml:space="preserve">     </w:t>
      </w:r>
      <w:r>
        <w:rPr>
          <w:rFonts w:ascii="宋体" w:hAnsi="宋体" w:hint="eastAsia"/>
          <w:b/>
          <w:sz w:val="44"/>
          <w:szCs w:val="44"/>
        </w:rPr>
        <w:t>高血压分级诊疗服务中医技术方案</w:t>
      </w:r>
    </w:p>
    <w:p w:rsidR="00B40830" w:rsidRDefault="00B40830" w:rsidP="00B40830">
      <w:pPr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高血压属中医“眩晕病”范畴，中医药在高血压防治方面积累了丰富经验。发挥中医“治未病”的作用，可对高血压高危人群进行调理；对高血压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1级低危患者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高血压2级以上、服用降压药后血压达标但仍有头晕头痛等症状的患者，或服用降压药后血压仍不稳定的患者，或服用降压药后有干咳、下肢水肿等副作用表现的患者进行中医药治疗，可以改善症状、稳定血压、提高患者生活质量。</w:t>
      </w:r>
    </w:p>
    <w:p w:rsidR="00B40830" w:rsidRDefault="00B40830" w:rsidP="00B40830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一、高血压分级诊疗服务目标、路径与双向转诊标准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color w:val="000000"/>
          <w:sz w:val="32"/>
          <w:szCs w:val="32"/>
        </w:rPr>
        <w:t>（一</w:t>
      </w:r>
      <w:r>
        <w:rPr>
          <w:rFonts w:ascii="楷体_GB2312" w:eastAsia="楷体_GB2312" w:hAnsi="楷体_GB2312" w:cs="楷体_GB2312"/>
          <w:b/>
          <w:color w:val="000000"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color w:val="000000"/>
          <w:sz w:val="32"/>
          <w:szCs w:val="32"/>
        </w:rPr>
        <w:t>目标。</w:t>
      </w:r>
      <w:r>
        <w:rPr>
          <w:rFonts w:ascii="仿宋_GB2312" w:eastAsia="仿宋_GB2312" w:hAnsi="仿宋_GB2312" w:cs="仿宋_GB2312" w:hint="eastAsia"/>
          <w:sz w:val="32"/>
          <w:szCs w:val="32"/>
        </w:rPr>
        <w:t>充分发挥“三师共同服务”作用，指导患者早期预防、合理就医和规范采用中医药疗法。充分发挥中医药特色优势，提高血压达标率，降低心脑血管疾病等并发症的发病率及死亡率。</w:t>
      </w:r>
    </w:p>
    <w:p w:rsidR="00B40830" w:rsidRDefault="00B40830" w:rsidP="00B40830">
      <w:pPr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路径（如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下图）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。</w:t>
      </w:r>
    </w:p>
    <w:p w:rsidR="00B40830" w:rsidRDefault="00B40830" w:rsidP="00B40830">
      <w:pPr>
        <w:spacing w:line="360" w:lineRule="auto"/>
        <w:rPr>
          <w:rFonts w:eastAsia="黑体"/>
          <w:b/>
          <w:sz w:val="24"/>
        </w:rPr>
      </w:pPr>
      <w:r>
        <w:rPr>
          <w:rFonts w:hAnsi="宋体"/>
          <w:b/>
          <w:sz w:val="24"/>
        </w:rPr>
      </w:r>
      <w:r>
        <w:rPr>
          <w:rFonts w:hAnsi="宋体"/>
          <w:b/>
          <w:sz w:val="24"/>
        </w:rPr>
        <w:pict>
          <v:group id="Group 2" o:spid="_x0000_s1026" style="width:468pt;height:312pt;mso-position-horizontal-relative:char;mso-position-vertical-relative:line" coordorigin="1800,4913" coordsize="9360,62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3" o:spid="_x0000_s1027" type="#_x0000_t75" style="position:absolute;left:1800;top:4913;width:9360;height:6240" o:preferrelative="f">
              <o:lock v:ext="edit" text="t"/>
            </v:shape>
            <v:rect id="Rectangle 4" o:spid="_x0000_s1028" style="position:absolute;left:8644;top:4955;width:1616;height:661" stroked="f">
              <v:textbox inset="6.34pt,3.17pt,6.34pt,3.17pt">
                <w:txbxContent>
                  <w:p w:rsidR="00B40830" w:rsidRDefault="00B40830" w:rsidP="00B40830">
                    <w:pPr>
                      <w:rPr>
                        <w:w w:val="90"/>
                        <w:sz w:val="15"/>
                        <w:szCs w:val="18"/>
                      </w:rPr>
                    </w:pPr>
                    <w:r>
                      <w:rPr>
                        <w:rFonts w:hint="eastAsia"/>
                        <w:w w:val="90"/>
                        <w:sz w:val="15"/>
                        <w:szCs w:val="18"/>
                      </w:rPr>
                      <w:t>二级及以上中医类医院</w:t>
                    </w:r>
                  </w:p>
                </w:txbxContent>
              </v:textbox>
            </v:rect>
            <v:shapetype id="_x0000_t109" coordsize="21600,21600" o:spt="109" path="m,l,21600r21600,l21600,xe">
              <v:stroke joinstyle="miter"/>
              <v:path gradientshapeok="t" o:connecttype="rect"/>
            </v:shapetype>
            <v:shape id="Flowchart: Process 5" o:spid="_x0000_s1029" type="#_x0000_t109" style="position:absolute;left:1808;top:6561;width:792;height:754">
              <v:stroke miterlimit="2"/>
              <v:textbox inset="6.34pt,3.17pt,6.34pt,3.17pt">
                <w:txbxContent>
                  <w:p w:rsidR="00B40830" w:rsidRDefault="00B40830" w:rsidP="00B40830">
                    <w:pPr>
                      <w:ind w:left="65" w:hangingChars="50" w:hanging="65"/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高血压</w:t>
                    </w:r>
                  </w:p>
                  <w:p w:rsidR="00B40830" w:rsidRDefault="00B40830" w:rsidP="00B40830">
                    <w:pPr>
                      <w:ind w:left="65" w:hangingChars="50" w:hanging="65"/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基层患者</w:t>
                    </w:r>
                  </w:p>
                </w:txbxContent>
              </v:textbox>
            </v:shape>
            <v:shape id="Flowchart: Process 6" o:spid="_x0000_s1030" type="#_x0000_t109" style="position:absolute;left:2888;top:5485;width:1064;height:620">
              <v:stroke miterlimit="2"/>
              <v:textbox inset="6.34pt,3.17pt,6.34pt,3.17pt">
                <w:txbxContent>
                  <w:p w:rsidR="00B40830" w:rsidRDefault="00B40830" w:rsidP="00B40830">
                    <w:pPr>
                      <w:spacing w:line="160" w:lineRule="exact"/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危险因素</w:t>
                    </w:r>
                  </w:p>
                  <w:p w:rsidR="00B40830" w:rsidRDefault="00B40830" w:rsidP="00B40830">
                    <w:pPr>
                      <w:spacing w:line="160" w:lineRule="exact"/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靶器官损害</w:t>
                    </w:r>
                  </w:p>
                  <w:p w:rsidR="00B40830" w:rsidRDefault="00B40830" w:rsidP="00B40830">
                    <w:pPr>
                      <w:spacing w:line="160" w:lineRule="exact"/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合并临床疾患</w:t>
                    </w:r>
                  </w:p>
                </w:txbxContent>
              </v:textbox>
            </v:shape>
            <v:rect id="Rectangle 7" o:spid="_x0000_s1031" style="position:absolute;left:5293;top:6158;width:634;height:411">
              <v:stroke miterlimit="2"/>
              <v:textbox inset="6.34pt,3.17pt,6.34pt,3.17pt">
                <w:txbxContent>
                  <w:p w:rsidR="00B40830" w:rsidRDefault="00B40830" w:rsidP="00B40830">
                    <w:pPr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低危</w:t>
                    </w:r>
                  </w:p>
                </w:txbxContent>
              </v:textbox>
            </v:rect>
            <v:rect id="Rectangle 8" o:spid="_x0000_s1032" style="position:absolute;left:5293;top:6708;width:634;height:413">
              <v:stroke miterlimit="2"/>
              <v:textbox inset="6.34pt,3.17pt,6.34pt,3.17pt">
                <w:txbxContent>
                  <w:p w:rsidR="00B40830" w:rsidRDefault="00B40830" w:rsidP="00B40830">
                    <w:pPr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中危</w:t>
                    </w:r>
                  </w:p>
                </w:txbxContent>
              </v:textbox>
            </v:rect>
            <v:rect id="Rectangle 9" o:spid="_x0000_s1033" style="position:absolute;left:5293;top:7256;width:634;height:413">
              <v:stroke miterlimit="2"/>
              <v:textbox inset="6.34pt,3.17pt,6.34pt,3.17pt">
                <w:txbxContent>
                  <w:p w:rsidR="00B40830" w:rsidRDefault="00B40830" w:rsidP="00B40830">
                    <w:pPr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高危</w:t>
                    </w:r>
                  </w:p>
                </w:txbxContent>
              </v:textbox>
            </v:rect>
            <v:rect id="Rectangle 10" o:spid="_x0000_s1034" style="position:absolute;left:6402;top:5656;width:850;height:685">
              <v:stroke miterlimit="2"/>
              <v:textbox inset="6.34pt,3.17pt,6.34pt,3.17pt">
                <w:txbxContent>
                  <w:p w:rsidR="00B40830" w:rsidRDefault="00B40830" w:rsidP="00B40830">
                    <w:pPr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病情稳定</w:t>
                    </w:r>
                  </w:p>
                  <w:p w:rsidR="00B40830" w:rsidRDefault="00B40830" w:rsidP="00B40830">
                    <w:pPr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分级管理</w:t>
                    </w:r>
                  </w:p>
                </w:txbxContent>
              </v:textbox>
            </v:rect>
            <v:rect id="Rectangle 11" o:spid="_x0000_s1035" style="position:absolute;left:6560;top:7393;width:1269;height:688">
              <v:stroke miterlimit="2"/>
              <v:textbox inset="6.34pt,3.17pt,6.34pt,3.17pt">
                <w:txbxContent>
                  <w:p w:rsidR="00B40830" w:rsidRDefault="00B40830" w:rsidP="00B40830">
                    <w:pPr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需要进一步评估</w:t>
                    </w:r>
                  </w:p>
                  <w:p w:rsidR="00B40830" w:rsidRDefault="00B40830" w:rsidP="00B40830">
                    <w:pPr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进行危险分层</w:t>
                    </w:r>
                  </w:p>
                </w:txbxContent>
              </v:textbox>
            </v:rect>
            <v:rect id="Rectangle 12" o:spid="_x0000_s1036" style="position:absolute;left:6560;top:8217;width:1269;height:686">
              <v:stroke miterlimit="2"/>
              <v:textbox inset="6.34pt,3.17pt,6.34pt,3.17pt">
                <w:txbxContent>
                  <w:p w:rsidR="00B40830" w:rsidRDefault="00B40830" w:rsidP="00B40830">
                    <w:pPr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靶器官损害衰竭</w:t>
                    </w:r>
                  </w:p>
                  <w:p w:rsidR="00B40830" w:rsidRDefault="00B40830" w:rsidP="00B40830">
                    <w:pPr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需要进一步治疗</w:t>
                    </w:r>
                  </w:p>
                </w:txbxContent>
              </v:textbox>
            </v:rect>
            <v:rect id="Rectangle 13" o:spid="_x0000_s1037" style="position:absolute;left:6560;top:9041;width:1269;height:413">
              <v:stroke miterlimit="2"/>
              <v:textbox inset="6.34pt,3.17pt,6.34pt,3.17pt">
                <w:txbxContent>
                  <w:p w:rsidR="00B40830" w:rsidRDefault="00B40830" w:rsidP="00B40830">
                    <w:pPr>
                      <w:ind w:firstLineChars="100" w:firstLine="130"/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高血压急症</w:t>
                    </w:r>
                  </w:p>
                </w:txbxContent>
              </v:textbox>
            </v:rect>
            <v:rect id="Rectangle 14" o:spid="_x0000_s1038" style="position:absolute;left:6560;top:9590;width:1269;height:411">
              <v:stroke miterlimit="2"/>
              <v:textbox inset="6.34pt,3.17pt,6.34pt,3.17pt">
                <w:txbxContent>
                  <w:p w:rsidR="00B40830" w:rsidRDefault="00B40830" w:rsidP="00B40830">
                    <w:pPr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难治性高血压</w:t>
                    </w:r>
                  </w:p>
                </w:txbxContent>
              </v:textbox>
            </v:rect>
            <v:rect id="Rectangle 15" o:spid="_x0000_s1039" style="position:absolute;left:6560;top:10139;width:1269;height:413">
              <v:stroke miterlimit="2"/>
              <v:textbox inset="6.34pt,3.17pt,6.34pt,3.17pt">
                <w:txbxContent>
                  <w:p w:rsidR="00B40830" w:rsidRDefault="00B40830" w:rsidP="00B40830">
                    <w:pPr>
                      <w:rPr>
                        <w:sz w:val="13"/>
                        <w:szCs w:val="15"/>
                      </w:rPr>
                    </w:pPr>
                    <w:r>
                      <w:rPr>
                        <w:sz w:val="13"/>
                        <w:szCs w:val="15"/>
                      </w:rPr>
                      <w:t xml:space="preserve">  </w:t>
                    </w:r>
                    <w:r>
                      <w:rPr>
                        <w:rFonts w:hint="eastAsia"/>
                        <w:sz w:val="13"/>
                        <w:szCs w:val="15"/>
                      </w:rPr>
                      <w:t>继发性高血压</w:t>
                    </w:r>
                  </w:p>
                </w:txbxContent>
              </v:textbox>
            </v:rect>
            <v:rect id="Rectangle 16" o:spid="_x0000_s1040" style="position:absolute;left:8778;top:8903;width:1267;height:858">
              <v:stroke miterlimit="2"/>
              <v:textbox inset="6.34pt,3.17pt,6.34pt,3.17pt">
                <w:txbxContent>
                  <w:p w:rsidR="00B40830" w:rsidRDefault="00B40830" w:rsidP="00B40830">
                    <w:pPr>
                      <w:spacing w:line="240" w:lineRule="exact"/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疑难重症或合并全身疾患的检查、评估、治疗</w:t>
                    </w:r>
                  </w:p>
                </w:txbxContent>
              </v:textbox>
            </v:rect>
            <v:line id="Line 17" o:spid="_x0000_s1041" style="position:absolute" from="2600,6982" to="2993,6983">
              <v:stroke endarrow="block" miterlimit="2"/>
            </v:line>
            <v:line id="Line 18" o:spid="_x0000_s1042" style="position:absolute" from="3847,6971" to="4187,6972">
              <v:stroke endarrow="block" miterlimit="2"/>
            </v:line>
            <v:line id="Line 19" o:spid="_x0000_s1043" style="position:absolute" from="4976,6982" to="5293,6982">
              <v:stroke miterlimit="2"/>
            </v:line>
            <v:line id="Line 20" o:spid="_x0000_s1044" style="position:absolute" from="5135,6295" to="5136,7531">
              <v:stroke miterlimit="2"/>
            </v:line>
            <v:line id="Line 21" o:spid="_x0000_s1045" style="position:absolute" from="5135,6295" to="5293,6295">
              <v:stroke miterlimit="2"/>
            </v:line>
            <v:line id="Line 22" o:spid="_x0000_s1046" style="position:absolute" from="5135,7531" to="5293,7531">
              <v:stroke miterlimit="2"/>
            </v:line>
            <v:line id="Line 23" o:spid="_x0000_s1047" style="position:absolute" from="5927,6295" to="6085,6295">
              <v:stroke miterlimit="2"/>
            </v:line>
            <v:line id="Line 24" o:spid="_x0000_s1048" style="position:absolute" from="6085,6295" to="6085,7531">
              <v:stroke miterlimit="2"/>
            </v:line>
            <v:line id="Line 25" o:spid="_x0000_s1049" style="position:absolute" from="5927,7531" to="6085,7531">
              <v:stroke miterlimit="2"/>
            </v:line>
            <v:line id="Line 26" o:spid="_x0000_s1050" style="position:absolute" from="5927,6982" to="6085,6982">
              <v:stroke miterlimit="2"/>
            </v:line>
            <v:line id="Line 27" o:spid="_x0000_s1051" style="position:absolute" from="6085,6982" to="6244,6982">
              <v:stroke miterlimit="2"/>
            </v:line>
            <v:line id="Line 28" o:spid="_x0000_s1052" style="position:absolute" from="6244,6021" to="6244,9315">
              <v:stroke miterlimit="2"/>
            </v:line>
            <v:line id="Line 29" o:spid="_x0000_s1053" style="position:absolute" from="6244,6021" to="6402,6021">
              <v:stroke endarrow="block" miterlimit="2"/>
            </v:line>
            <v:line id="Line 30" o:spid="_x0000_s1054" style="position:absolute" from="7252,6021" to="7467,6022">
              <v:stroke endarrow="block" miterlimit="2"/>
            </v:line>
            <v:line id="Line 31" o:spid="_x0000_s1055" style="position:absolute" from="6244,9315" to="6402,9315">
              <v:stroke endarrow="block" miterlimit="2"/>
            </v:line>
            <v:line id="Line 32" o:spid="_x0000_s1056" style="position:absolute" from="6402,7668" to="6402,10414">
              <v:stroke miterlimit="2"/>
            </v:line>
            <v:line id="Line 33" o:spid="_x0000_s1057" style="position:absolute" from="6402,7668" to="6560,7668">
              <v:stroke miterlimit="2"/>
            </v:line>
            <v:line id="Line 34" o:spid="_x0000_s1058" style="position:absolute" from="6402,8629" to="6560,8629">
              <v:stroke miterlimit="2"/>
            </v:line>
            <v:line id="Line 35" o:spid="_x0000_s1059" style="position:absolute" from="6402,9315" to="6560,9315">
              <v:stroke miterlimit="2"/>
            </v:line>
            <v:line id="Line 36" o:spid="_x0000_s1060" style="position:absolute" from="6402,9864" to="6560,9864">
              <v:stroke miterlimit="2"/>
            </v:line>
            <v:line id="Line 37" o:spid="_x0000_s1061" style="position:absolute" from="6402,10414" to="6560,10414">
              <v:stroke miterlimit="2"/>
            </v:line>
            <v:line id="Line 38" o:spid="_x0000_s1062" style="position:absolute" from="7986,7668" to="7986,10414">
              <v:stroke miterlimit="2"/>
            </v:line>
            <v:line id="Line 39" o:spid="_x0000_s1063" style="position:absolute" from="7828,10414" to="7986,10414">
              <v:stroke miterlimit="2"/>
            </v:line>
            <v:line id="Line 40" o:spid="_x0000_s1064" style="position:absolute" from="7828,9864" to="7986,9864">
              <v:stroke miterlimit="2"/>
            </v:line>
            <v:line id="Line 41" o:spid="_x0000_s1065" style="position:absolute" from="7828,9315" to="7986,9315">
              <v:stroke miterlimit="2"/>
            </v:line>
            <v:line id="Line 42" o:spid="_x0000_s1066" style="position:absolute" from="7828,8629" to="7986,8629">
              <v:stroke miterlimit="2"/>
            </v:line>
            <v:line id="Line 43" o:spid="_x0000_s1067" style="position:absolute" from="7828,7668" to="7986,7668">
              <v:stroke miterlimit="2"/>
            </v:line>
            <v:line id="Line 44" o:spid="_x0000_s1068" style="position:absolute" from="7986,9315" to="8778,9315">
              <v:stroke endarrow="block" miterlimit="2"/>
            </v:line>
            <v:line id="Line 45" o:spid="_x0000_s1069" style="position:absolute;flip:y" from="9412,6158" to="9412,8903">
              <v:stroke endarrow="block" miterlimit="2"/>
            </v:line>
            <v:line id="Line 46" o:spid="_x0000_s1070" style="position:absolute;flip:x" from="8303,6021" to="9095,6021">
              <v:stroke endarrow="block" miterlimit="2"/>
            </v:line>
            <v:line id="Line 47" o:spid="_x0000_s1071" style="position:absolute;flip:y" from="2663,4941" to="2664,10844">
              <v:stroke miterlimit="2"/>
            </v:line>
            <v:line id="Line 48" o:spid="_x0000_s1072" style="position:absolute;flip:y" from="8461,4922" to="8462,10825">
              <v:stroke miterlimit="2"/>
            </v:line>
            <v:line id="Line 49" o:spid="_x0000_s1073" style="position:absolute;flip:y" from="8620,4922" to="8621,10825">
              <v:stroke miterlimit="2"/>
            </v:line>
            <v:line id="Line 50" o:spid="_x0000_s1074" style="position:absolute;flip:y" from="10203,4922" to="10204,10825">
              <v:stroke miterlimit="2"/>
            </v:line>
            <v:line id="Line 51" o:spid="_x0000_s1075" style="position:absolute;flip:y" from="2658,10826" to="8469,10869">
              <v:stroke miterlimit="2"/>
            </v:line>
            <v:line id="Line 52" o:spid="_x0000_s1076" style="position:absolute;flip:y" from="2658,4921" to="8469,4939">
              <v:stroke miterlimit="2"/>
            </v:line>
            <v:line id="Line 53" o:spid="_x0000_s1077" style="position:absolute" from="8620,10825" to="10204,10825">
              <v:stroke miterlimit="2"/>
            </v:line>
            <v:line id="Line 54" o:spid="_x0000_s1078" style="position:absolute" from="8620,4922" to="10204,4922">
              <v:stroke miterlimit="2"/>
            </v:line>
            <v:line id="Line 55" o:spid="_x0000_s1079" style="position:absolute;flip:y" from="7898,5409" to="7899,5721">
              <v:stroke miterlimit="2"/>
            </v:line>
            <v:rect id="Rectangle 56" o:spid="_x0000_s1080" style="position:absolute;left:5144;top:4951;width:1584;height:411" filled="f" stroked="f">
              <v:textbox inset="6.34pt,3.17pt,6.34pt,3.17pt">
                <w:txbxContent>
                  <w:p w:rsidR="00B40830" w:rsidRDefault="00B40830" w:rsidP="00B40830">
                    <w:pPr>
                      <w:rPr>
                        <w:b/>
                        <w:sz w:val="15"/>
                        <w:szCs w:val="18"/>
                      </w:rPr>
                    </w:pPr>
                    <w:r>
                      <w:rPr>
                        <w:rFonts w:hint="eastAsia"/>
                        <w:b/>
                        <w:sz w:val="15"/>
                        <w:szCs w:val="18"/>
                      </w:rPr>
                      <w:t>基层医疗卫生机构</w:t>
                    </w:r>
                  </w:p>
                </w:txbxContent>
              </v:textbox>
            </v:rect>
            <v:line id="Line 57" o:spid="_x0000_s1081" style="position:absolute;flip:y" from="2798,5409" to="7900,5410">
              <v:stroke miterlimit="2"/>
            </v:line>
            <v:line id="Line 58" o:spid="_x0000_s1082" style="position:absolute" from="2808,5409" to="2809,6813">
              <v:stroke miterlimit="2"/>
            </v:line>
            <v:line id="Line 59" o:spid="_x0000_s1083" style="position:absolute" from="2888,6813" to="2888,6813">
              <v:stroke miterlimit="2"/>
            </v:line>
            <v:line id="Line 60" o:spid="_x0000_s1084" style="position:absolute" from="2888,6813" to="2888,6813">
              <v:stroke endarrow="block" miterlimit="2"/>
            </v:line>
            <v:line id="Line 61" o:spid="_x0000_s1085" style="position:absolute" from="2888,6813" to="2888,6813">
              <v:stroke endarrow="block" miterlimit="2"/>
            </v:line>
            <v:line id="Line 62" o:spid="_x0000_s1086" style="position:absolute" from="2888,6813" to="2888,6813">
              <v:stroke endarrow="block" miterlimit="2"/>
            </v:line>
            <v:line id="Line 63" o:spid="_x0000_s1087" style="position:absolute" from="2798,6823" to="2978,6824">
              <v:stroke endarrow="block" miterlimit="2"/>
            </v:line>
            <v:rect id="Rectangle 64" o:spid="_x0000_s1088" style="position:absolute;left:8685;top:5379;width:1470;height:770">
              <v:stroke miterlimit="2"/>
              <v:textbox inset="6.34pt,3.17pt,6.34pt,3.17pt">
                <w:txbxContent>
                  <w:p w:rsidR="00B40830" w:rsidRDefault="00B40830" w:rsidP="00B40830">
                    <w:pPr>
                      <w:spacing w:line="240" w:lineRule="exact"/>
                      <w:ind w:firstLineChars="50" w:firstLine="65"/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治疗方案确定的病情稳定患者</w:t>
                    </w:r>
                  </w:p>
                </w:txbxContent>
              </v:textbox>
            </v:rect>
            <v:line id="Line 65" o:spid="_x0000_s1089" style="position:absolute" from="6402,6838" to="6403,7669">
              <v:stroke miterlimit="2"/>
            </v:line>
            <v:rect id="Rectangle 66" o:spid="_x0000_s1090" style="position:absolute;left:6560;top:6483;width:1269;height:614">
              <v:stroke miterlimit="2"/>
              <v:textbox inset="6.34pt,3.17pt,6.34pt,3.17pt">
                <w:txbxContent>
                  <w:p w:rsidR="00B40830" w:rsidRDefault="00B40830" w:rsidP="00B40830">
                    <w:pPr>
                      <w:spacing w:line="200" w:lineRule="exact"/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需要进一步辨证治疗</w:t>
                    </w:r>
                  </w:p>
                </w:txbxContent>
              </v:textbox>
            </v:rect>
            <v:line id="Line 67" o:spid="_x0000_s1091" style="position:absolute" from="6402,6838" to="6560,6839">
              <v:stroke miterlimit="2"/>
            </v:line>
            <v:line id="Line 68" o:spid="_x0000_s1092" style="position:absolute" from="7986,6838" to="7987,9584">
              <v:stroke miterlimit="2"/>
            </v:line>
            <v:line id="Line 69" o:spid="_x0000_s1093" style="position:absolute" from="7828,6838" to="7986,6839">
              <v:stroke miterlimit="2"/>
            </v:line>
            <v:rect id="Rectangle 70" o:spid="_x0000_s1094" style="position:absolute;left:4187;top:6708;width:828;height:412">
              <v:stroke miterlimit="2"/>
              <v:textbox inset="6.34pt,3.17pt,6.34pt,3.17pt">
                <w:txbxContent>
                  <w:p w:rsidR="00B40830" w:rsidRDefault="00B40830" w:rsidP="00B40830">
                    <w:pPr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危险分层</w:t>
                    </w:r>
                  </w:p>
                </w:txbxContent>
              </v:textbox>
            </v:rect>
            <v:line id="Line 71" o:spid="_x0000_s1095" style="position:absolute;flip:y" from="3417,6112" to="3418,6587">
              <v:stroke endarrow="block" miterlimit="2"/>
            </v:line>
            <v:rect id="Rectangle 72" o:spid="_x0000_s1096" style="position:absolute;left:3003;top:6568;width:845;height:731">
              <v:stroke miterlimit="2"/>
              <v:textbox inset="6.34pt,3.17pt,6.34pt,3.17pt">
                <w:txbxContent>
                  <w:p w:rsidR="00B40830" w:rsidRDefault="00B40830" w:rsidP="00B40830">
                    <w:pPr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检查评估</w:t>
                    </w:r>
                  </w:p>
                  <w:p w:rsidR="00B40830" w:rsidRDefault="00B40830" w:rsidP="00B40830">
                    <w:pPr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初步辨证</w:t>
                    </w:r>
                  </w:p>
                </w:txbxContent>
              </v:textbox>
            </v:rect>
            <v:rect id="Rectangle 73" o:spid="_x0000_s1097" style="position:absolute;left:7467;top:5676;width:836;height:685">
              <v:stroke miterlimit="2"/>
              <v:textbox inset="6.34pt,3.17pt,6.34pt,3.17pt">
                <w:txbxContent>
                  <w:p w:rsidR="00B40830" w:rsidRDefault="00B40830" w:rsidP="00B40830">
                    <w:pPr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维持治疗</w:t>
                    </w:r>
                  </w:p>
                  <w:p w:rsidR="00B40830" w:rsidRDefault="00B40830" w:rsidP="00B40830">
                    <w:pPr>
                      <w:jc w:val="center"/>
                      <w:rPr>
                        <w:sz w:val="13"/>
                        <w:szCs w:val="15"/>
                      </w:rPr>
                    </w:pPr>
                    <w:r>
                      <w:rPr>
                        <w:rFonts w:hint="eastAsia"/>
                        <w:sz w:val="13"/>
                        <w:szCs w:val="15"/>
                      </w:rPr>
                      <w:t>长期达标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B40830" w:rsidRDefault="00B40830" w:rsidP="00B40830">
      <w:pPr>
        <w:spacing w:line="360" w:lineRule="auto"/>
        <w:ind w:firstLineChars="196" w:firstLine="630"/>
        <w:rPr>
          <w:rFonts w:ascii="楷体_GB2312" w:eastAsia="楷体_GB2312" w:hAnsi="楷体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" w:hint="eastAsia"/>
          <w:b/>
          <w:sz w:val="32"/>
          <w:szCs w:val="32"/>
        </w:rPr>
        <w:t>双向转诊标准。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1.上转至二级及以上中医类医院的标准。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如有以下情况之一：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经规律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的治疗性生活方式改变及中医综合治疗干预3个月后血压仍为正常高值（130-139/85-89mmHg）的高危人群。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（2）基层医疗卫生机构不能提供高血压中医辨证治疗或中药饮片服务时。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（3）经中医药综合治疗2～3个月之后，血压未达标或症状未改善者。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转标准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同附件2。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2.下转至基层医疗卫生机构的标准。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诊断明确，治疗方案确定，病情稳定的患者。</w:t>
      </w:r>
    </w:p>
    <w:p w:rsidR="00B40830" w:rsidRDefault="00B40830" w:rsidP="00B40830">
      <w:pPr>
        <w:spacing w:line="360" w:lineRule="auto"/>
        <w:ind w:firstLineChars="200" w:firstLine="640"/>
        <w:rPr>
          <w:rFonts w:ascii="黑体" w:eastAsia="黑体"/>
          <w:b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二、高血压患者的筛查、诊断与评估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" w:eastAsia="仿宋" w:hAnsi="仿宋" w:hint="eastAsia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</w:t>
      </w:r>
      <w:r>
        <w:rPr>
          <w:rFonts w:ascii="楷体" w:eastAsia="楷体" w:hAnsi="楷体"/>
          <w:b/>
          <w:sz w:val="32"/>
          <w:szCs w:val="32"/>
        </w:rPr>
        <w:t>）</w:t>
      </w:r>
      <w:r>
        <w:rPr>
          <w:rFonts w:ascii="楷体" w:eastAsia="楷体" w:hAnsi="楷体" w:hint="eastAsia"/>
          <w:b/>
          <w:sz w:val="32"/>
          <w:szCs w:val="32"/>
        </w:rPr>
        <w:t>高血压</w:t>
      </w:r>
      <w:r>
        <w:rPr>
          <w:rFonts w:ascii="楷体" w:eastAsia="楷体" w:hAnsi="楷体"/>
          <w:b/>
          <w:sz w:val="32"/>
          <w:szCs w:val="32"/>
        </w:rPr>
        <w:t>筛查。</w:t>
      </w:r>
      <w:r>
        <w:rPr>
          <w:rFonts w:ascii="仿宋_GB2312" w:eastAsia="仿宋_GB2312" w:hAnsi="仿宋_GB2312" w:cs="仿宋_GB2312" w:hint="eastAsia"/>
          <w:sz w:val="32"/>
          <w:szCs w:val="32"/>
        </w:rPr>
        <w:t>同附件2。</w:t>
      </w:r>
    </w:p>
    <w:p w:rsidR="00B40830" w:rsidRDefault="00B40830" w:rsidP="00B40830">
      <w:pPr>
        <w:spacing w:line="360" w:lineRule="auto"/>
        <w:ind w:firstLineChars="200" w:firstLine="643"/>
        <w:rPr>
          <w:rFonts w:ascii="楷体" w:eastAsia="楷体" w:hAnsi="楷体" w:hint="eastAsia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</w:t>
      </w:r>
      <w:r>
        <w:rPr>
          <w:rFonts w:ascii="楷体" w:eastAsia="楷体" w:hAnsi="楷体"/>
          <w:b/>
          <w:sz w:val="32"/>
          <w:szCs w:val="32"/>
        </w:rPr>
        <w:t>）</w:t>
      </w:r>
      <w:r>
        <w:rPr>
          <w:rFonts w:ascii="楷体" w:eastAsia="楷体" w:hAnsi="楷体" w:hint="eastAsia"/>
          <w:b/>
          <w:sz w:val="32"/>
          <w:szCs w:val="32"/>
        </w:rPr>
        <w:t>高血压</w:t>
      </w:r>
      <w:r>
        <w:rPr>
          <w:rFonts w:ascii="楷体" w:eastAsia="楷体" w:hAnsi="楷体"/>
          <w:b/>
          <w:sz w:val="32"/>
          <w:szCs w:val="32"/>
        </w:rPr>
        <w:t>诊断与评估。</w:t>
      </w:r>
    </w:p>
    <w:p w:rsidR="00B40830" w:rsidRDefault="00B40830" w:rsidP="00B40830">
      <w:pPr>
        <w:spacing w:line="360" w:lineRule="auto"/>
        <w:ind w:firstLineChars="200" w:firstLine="643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发挥中医证候辨识作用。</w:t>
      </w:r>
      <w:r>
        <w:rPr>
          <w:rFonts w:ascii="仿宋_GB2312" w:eastAsia="仿宋_GB2312" w:hAnsi="仿宋_GB2312" w:cs="仿宋_GB2312" w:hint="eastAsia"/>
          <w:sz w:val="32"/>
          <w:szCs w:val="32"/>
        </w:rPr>
        <w:t>遵循“四诊合参”的原则，重点进行病史、症状与体征、舌脉诊等综合信息采集，依据国家中医药管理局医政司发布的《眩晕病（原发性高血压）中医诊疗方案》，把握高血压基本病机进行中医辨证。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其他同附件2。</w:t>
      </w:r>
    </w:p>
    <w:p w:rsidR="00B40830" w:rsidRDefault="00B40830" w:rsidP="00B40830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三、高血压患者的治疗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高血压治疗的目的是血压达标，以期最大限度地降低心脑血管病发病及死亡总危险。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" w:eastAsia="仿宋" w:hAnsi="仿宋" w:hint="eastAsia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（一</w:t>
      </w:r>
      <w:r>
        <w:rPr>
          <w:rFonts w:ascii="楷体_GB2312" w:eastAsia="楷体_GB2312" w:hAnsi="楷体"/>
          <w:b/>
          <w:sz w:val="32"/>
          <w:szCs w:val="32"/>
        </w:rPr>
        <w:t>）</w:t>
      </w:r>
      <w:r>
        <w:rPr>
          <w:rFonts w:ascii="楷体_GB2312" w:eastAsia="楷体_GB2312" w:hAnsi="楷体" w:hint="eastAsia"/>
          <w:b/>
          <w:sz w:val="32"/>
          <w:szCs w:val="32"/>
        </w:rPr>
        <w:t>治疗目标。</w:t>
      </w:r>
      <w:r>
        <w:rPr>
          <w:rFonts w:ascii="仿宋_GB2312" w:eastAsia="仿宋_GB2312" w:hAnsi="仿宋_GB2312" w:cs="仿宋_GB2312" w:hint="eastAsia"/>
          <w:sz w:val="32"/>
          <w:szCs w:val="32"/>
        </w:rPr>
        <w:t>同附件2。</w:t>
      </w:r>
    </w:p>
    <w:p w:rsidR="00B40830" w:rsidRDefault="00B40830" w:rsidP="00B40830">
      <w:pPr>
        <w:spacing w:line="360" w:lineRule="auto"/>
        <w:ind w:firstLineChars="200" w:firstLine="643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</w:t>
      </w:r>
      <w:r>
        <w:rPr>
          <w:rFonts w:ascii="楷体" w:eastAsia="楷体" w:hAnsi="楷体"/>
          <w:b/>
          <w:sz w:val="32"/>
          <w:szCs w:val="32"/>
        </w:rPr>
        <w:t>）</w:t>
      </w:r>
      <w:r>
        <w:rPr>
          <w:rFonts w:ascii="楷体" w:eastAsia="楷体" w:hAnsi="楷体" w:hint="eastAsia"/>
          <w:b/>
          <w:sz w:val="32"/>
          <w:szCs w:val="32"/>
        </w:rPr>
        <w:t>中医健康管理。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1.健康体检。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（1）中医健康状态评估，体质辨识或辨证。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（2）理化检查：测量血脂、空腹血糖，检测血常规、尿常规，进行心电图、肾功能检查等项目。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（3）管理对象每年进行一次体检。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2.行为干预。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（1）辨证施膳：根据患者的证候分型、体质辨识和食物性味归经等综合判断结果给予膳食指导，同时指导管理对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象控制脂肪和盐分摄入。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（2）运动调养：为管理对象个体化选择恰当的运动方式(慢跑、快走、散步、导引、太极拳、八段锦、五禽戏、六字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等)、运动量、运动时间和频度。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（3）情志调理：为患者辨证选择不同的音乐和娱乐活动等，调畅情志，愉悦心情。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（4）戒烟限酒。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  <w:lang w:val="zh-CN"/>
        </w:rPr>
        <w:t>（三</w:t>
      </w:r>
      <w:r>
        <w:rPr>
          <w:rFonts w:ascii="楷体_GB2312" w:eastAsia="楷体_GB2312" w:hAnsi="楷体"/>
          <w:b/>
          <w:color w:val="000000"/>
          <w:sz w:val="32"/>
          <w:szCs w:val="32"/>
          <w:lang w:val="zh-CN"/>
        </w:rPr>
        <w:t>）</w:t>
      </w:r>
      <w:r>
        <w:rPr>
          <w:rFonts w:ascii="楷体_GB2312" w:eastAsia="楷体_GB2312" w:hAnsi="楷体" w:hint="eastAsia"/>
          <w:b/>
          <w:color w:val="000000"/>
          <w:sz w:val="32"/>
          <w:szCs w:val="32"/>
          <w:lang w:val="zh-CN"/>
        </w:rPr>
        <w:t>中医药治疗。</w:t>
      </w:r>
      <w:r>
        <w:rPr>
          <w:rFonts w:ascii="仿宋_GB2312" w:eastAsia="仿宋_GB2312" w:hAnsi="仿宋_GB2312" w:cs="仿宋_GB2312" w:hint="eastAsia"/>
          <w:sz w:val="32"/>
          <w:szCs w:val="32"/>
        </w:rPr>
        <w:t>根据具体病情，参照国家中医药管理局医政司发布的《眩晕病（原发性高血压）中医诊疗方案》，合理应用中医药疗法。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" w:eastAsia="仿宋" w:hAnsi="仿宋" w:hint="eastAsia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  <w:lang w:val="zh-CN"/>
        </w:rPr>
        <w:t>（四</w:t>
      </w:r>
      <w:r>
        <w:rPr>
          <w:rFonts w:ascii="楷体_GB2312" w:eastAsia="楷体_GB2312" w:hAnsi="楷体"/>
          <w:b/>
          <w:sz w:val="32"/>
          <w:szCs w:val="32"/>
          <w:lang w:val="zh-CN"/>
        </w:rPr>
        <w:t>）</w:t>
      </w:r>
      <w:r>
        <w:rPr>
          <w:rFonts w:ascii="楷体_GB2312" w:eastAsia="楷体_GB2312" w:hAnsi="楷体" w:hint="eastAsia"/>
          <w:b/>
          <w:sz w:val="32"/>
          <w:szCs w:val="32"/>
          <w:lang w:val="zh-CN"/>
        </w:rPr>
        <w:t>其他降压药物治疗。</w:t>
      </w:r>
      <w:r>
        <w:rPr>
          <w:rFonts w:ascii="仿宋_GB2312" w:eastAsia="仿宋_GB2312" w:hAnsi="仿宋_GB2312" w:cs="仿宋_GB2312" w:hint="eastAsia"/>
          <w:sz w:val="32"/>
          <w:szCs w:val="32"/>
        </w:rPr>
        <w:t>同附件2。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" w:eastAsia="仿宋" w:hAnsi="仿宋" w:hint="eastAsia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  <w:lang w:val="zh-CN"/>
        </w:rPr>
        <w:t>（五</w:t>
      </w:r>
      <w:r>
        <w:rPr>
          <w:rFonts w:ascii="楷体_GB2312" w:eastAsia="楷体_GB2312" w:hAnsi="楷体"/>
          <w:b/>
          <w:sz w:val="32"/>
          <w:szCs w:val="32"/>
          <w:lang w:val="zh-CN"/>
        </w:rPr>
        <w:t>）</w:t>
      </w:r>
      <w:r>
        <w:rPr>
          <w:rFonts w:ascii="楷体_GB2312" w:eastAsia="楷体_GB2312" w:hAnsi="楷体" w:hint="eastAsia"/>
          <w:b/>
          <w:sz w:val="32"/>
          <w:szCs w:val="32"/>
          <w:lang w:val="zh-CN"/>
        </w:rPr>
        <w:t>合并危险因素的控制。</w:t>
      </w:r>
      <w:r>
        <w:rPr>
          <w:rFonts w:ascii="仿宋_GB2312" w:eastAsia="仿宋_GB2312" w:hAnsi="仿宋_GB2312" w:cs="仿宋_GB2312" w:hint="eastAsia"/>
          <w:sz w:val="32"/>
          <w:szCs w:val="32"/>
        </w:rPr>
        <w:t>同附件2。</w:t>
      </w:r>
    </w:p>
    <w:p w:rsidR="00B40830" w:rsidRDefault="00B40830" w:rsidP="00B4083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四、高血压患者的管理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（一</w:t>
      </w:r>
      <w:r>
        <w:rPr>
          <w:rFonts w:ascii="楷体_GB2312" w:eastAsia="楷体_GB2312" w:hAnsi="楷体"/>
          <w:b/>
          <w:sz w:val="32"/>
          <w:szCs w:val="32"/>
        </w:rPr>
        <w:t>）</w:t>
      </w:r>
      <w:r>
        <w:rPr>
          <w:rFonts w:ascii="楷体_GB2312" w:eastAsia="楷体_GB2312" w:hAnsi="楷体" w:hint="eastAsia"/>
          <w:b/>
          <w:sz w:val="32"/>
          <w:szCs w:val="32"/>
        </w:rPr>
        <w:t>高血压分层分级管理内容。</w:t>
      </w:r>
      <w:r>
        <w:rPr>
          <w:rFonts w:ascii="仿宋_GB2312" w:eastAsia="仿宋_GB2312" w:hAnsi="仿宋_GB2312" w:cs="仿宋_GB2312" w:hint="eastAsia"/>
          <w:sz w:val="32"/>
          <w:szCs w:val="32"/>
        </w:rPr>
        <w:t>按照一级管理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的低危患者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，每3个月进行一次中医辨证；按照二级管理的中危患者，每2个月进行一次中医辨证；按照三级管理的高危患者，至少每个月进行一次中医辨证。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其他同附件2。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" w:eastAsia="仿宋" w:hAnsi="仿宋" w:hint="eastAsia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</w:t>
      </w:r>
      <w:r>
        <w:rPr>
          <w:rFonts w:ascii="楷体" w:eastAsia="楷体" w:hAnsi="楷体"/>
          <w:b/>
          <w:sz w:val="32"/>
          <w:szCs w:val="32"/>
        </w:rPr>
        <w:t>）</w:t>
      </w:r>
      <w:r>
        <w:rPr>
          <w:rFonts w:ascii="楷体" w:eastAsia="楷体" w:hAnsi="楷体" w:hint="eastAsia"/>
          <w:b/>
          <w:sz w:val="32"/>
          <w:szCs w:val="32"/>
        </w:rPr>
        <w:t>高血压管理级别与调整。</w:t>
      </w:r>
      <w:r>
        <w:rPr>
          <w:rFonts w:ascii="仿宋" w:eastAsia="仿宋" w:hAnsi="仿宋" w:hint="eastAsia"/>
          <w:sz w:val="32"/>
          <w:szCs w:val="32"/>
        </w:rPr>
        <w:t>同附件2。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（三</w:t>
      </w:r>
      <w:r>
        <w:rPr>
          <w:rFonts w:ascii="楷体" w:eastAsia="楷体" w:hAnsi="楷体"/>
          <w:b/>
          <w:sz w:val="32"/>
          <w:szCs w:val="32"/>
        </w:rPr>
        <w:t>）</w:t>
      </w:r>
      <w:r>
        <w:rPr>
          <w:rFonts w:ascii="楷体" w:eastAsia="楷体" w:hAnsi="楷体" w:hint="eastAsia"/>
          <w:b/>
          <w:sz w:val="32"/>
          <w:szCs w:val="32"/>
        </w:rPr>
        <w:t>高血压自我管理。</w:t>
      </w:r>
      <w:r>
        <w:rPr>
          <w:rFonts w:ascii="仿宋_GB2312" w:eastAsia="仿宋_GB2312" w:hAnsi="仿宋_GB2312" w:cs="仿宋_GB2312" w:hint="eastAsia"/>
          <w:sz w:val="32"/>
          <w:szCs w:val="32"/>
        </w:rPr>
        <w:t>自我管理小组管理增加中医指标：高血压中医药防治知识的知晓率。</w:t>
      </w:r>
    </w:p>
    <w:p w:rsidR="00B40830" w:rsidRDefault="00B40830" w:rsidP="00B40830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其他同附件2。</w:t>
      </w:r>
    </w:p>
    <w:p w:rsidR="00B40830" w:rsidRDefault="00B40830" w:rsidP="00B40830">
      <w:pPr>
        <w:spacing w:line="360" w:lineRule="auto"/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楷体_GB2312" w:eastAsia="楷体_GB2312" w:hAnsi="仿宋" w:hint="eastAsia"/>
          <w:b/>
          <w:sz w:val="32"/>
          <w:szCs w:val="32"/>
        </w:rPr>
        <w:lastRenderedPageBreak/>
        <w:t>（四</w:t>
      </w:r>
      <w:r>
        <w:rPr>
          <w:rFonts w:ascii="楷体_GB2312" w:eastAsia="楷体_GB2312" w:hAnsi="仿宋"/>
          <w:b/>
          <w:sz w:val="32"/>
          <w:szCs w:val="32"/>
        </w:rPr>
        <w:t>）</w:t>
      </w:r>
      <w:r>
        <w:rPr>
          <w:rFonts w:ascii="楷体_GB2312" w:eastAsia="楷体_GB2312" w:hAnsi="仿宋" w:hint="eastAsia"/>
          <w:b/>
          <w:sz w:val="32"/>
          <w:szCs w:val="32"/>
        </w:rPr>
        <w:t>患者并发症及合并疾病的检查。</w:t>
      </w:r>
      <w:r>
        <w:rPr>
          <w:rFonts w:ascii="仿宋_GB2312" w:eastAsia="仿宋_GB2312" w:hAnsi="仿宋_GB2312" w:cs="仿宋_GB2312" w:hint="eastAsia"/>
          <w:sz w:val="32"/>
          <w:szCs w:val="32"/>
        </w:rPr>
        <w:t>监测项目中，中医辨证的频率为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每2月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一次，且每年必须至少有2次中医辨证在二级及以上中医类医院进行。</w:t>
      </w:r>
    </w:p>
    <w:p w:rsidR="002E0361" w:rsidRDefault="00B40830" w:rsidP="00B40830">
      <w:r>
        <w:rPr>
          <w:rFonts w:ascii="仿宋_GB2312" w:eastAsia="仿宋_GB2312" w:hAnsi="仿宋_GB2312" w:cs="仿宋_GB2312" w:hint="eastAsia"/>
          <w:sz w:val="32"/>
          <w:szCs w:val="32"/>
        </w:rPr>
        <w:t>其他同附件2。</w:t>
      </w:r>
    </w:p>
    <w:sectPr w:rsidR="002E0361" w:rsidSect="002E0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0830"/>
    <w:rsid w:val="00057E46"/>
    <w:rsid w:val="002E0361"/>
    <w:rsid w:val="00997F62"/>
    <w:rsid w:val="009D77F2"/>
    <w:rsid w:val="00B40830"/>
    <w:rsid w:val="00FB3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83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214</Words>
  <Characters>1222</Characters>
  <Application>Microsoft Office Word</Application>
  <DocSecurity>0</DocSecurity>
  <Lines>10</Lines>
  <Paragraphs>2</Paragraphs>
  <ScaleCrop>false</ScaleCrop>
  <Company>微软中国</Company>
  <LinksUpToDate>false</LinksUpToDate>
  <CharactersWithSpaces>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2015-12-01T03:37:00Z</dcterms:created>
  <dcterms:modified xsi:type="dcterms:W3CDTF">2015-12-01T03:37:00Z</dcterms:modified>
</cp:coreProperties>
</file>