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仿宋_GB2312" w:hAnsi="宋体" w:eastAsia="仿宋_GB2312" w:cs="Times New Roman"/>
          <w:sz w:val="30"/>
          <w:szCs w:val="30"/>
        </w:rPr>
      </w:pPr>
      <w:r>
        <w:rPr>
          <w:rFonts w:hint="eastAsia" w:ascii="仿宋_GB2312" w:hAnsi="宋体" w:eastAsia="仿宋_GB2312" w:cs="仿宋_GB2312"/>
          <w:sz w:val="30"/>
          <w:szCs w:val="30"/>
        </w:rPr>
        <w:t>附件</w:t>
      </w:r>
      <w:r>
        <w:rPr>
          <w:rFonts w:ascii="仿宋_GB2312" w:hAnsi="宋体" w:eastAsia="仿宋_GB2312" w:cs="仿宋_GB2312"/>
          <w:sz w:val="30"/>
          <w:szCs w:val="30"/>
        </w:rPr>
        <w:t>6</w:t>
      </w:r>
    </w:p>
    <w:p>
      <w:pPr>
        <w:jc w:val="center"/>
        <w:rPr>
          <w:rFonts w:ascii="宋体" w:cs="Times New Roman"/>
          <w:b/>
          <w:bCs/>
          <w:sz w:val="30"/>
          <w:szCs w:val="30"/>
        </w:rPr>
      </w:pPr>
      <w:r>
        <w:rPr>
          <w:rFonts w:hint="eastAsia" w:ascii="宋体" w:hAnsi="宋体" w:cs="宋体"/>
          <w:b/>
          <w:bCs/>
          <w:sz w:val="30"/>
          <w:szCs w:val="30"/>
        </w:rPr>
        <w:t>国家中医药管理局治未病重点专科中期评估评分标准</w:t>
      </w:r>
    </w:p>
    <w:p>
      <w:pPr>
        <w:jc w:val="center"/>
        <w:rPr>
          <w:rFonts w:ascii="宋体" w:cs="Times New Roman"/>
          <w:b/>
          <w:bCs/>
          <w:sz w:val="36"/>
          <w:szCs w:val="36"/>
        </w:rPr>
      </w:pPr>
    </w:p>
    <w:p>
      <w:pPr>
        <w:rPr>
          <w:rFonts w:cs="Times New Roman"/>
        </w:rPr>
      </w:pPr>
    </w:p>
    <w:p>
      <w:pPr>
        <w:rPr>
          <w:rFonts w:hint="eastAsia" w:ascii="宋体" w:hAnsi="宋体" w:cs="宋体"/>
          <w:b/>
          <w:bCs/>
          <w:sz w:val="24"/>
          <w:szCs w:val="24"/>
        </w:rPr>
      </w:pPr>
      <w:r>
        <w:rPr>
          <w:rFonts w:hint="eastAsia" w:ascii="宋体" w:hAnsi="宋体" w:cs="宋体"/>
          <w:b/>
          <w:bCs/>
          <w:sz w:val="24"/>
          <w:szCs w:val="24"/>
        </w:rPr>
        <w:t>一</w:t>
      </w:r>
      <w:r>
        <w:rPr>
          <w:rFonts w:ascii="宋体" w:hAnsi="宋体" w:cs="宋体"/>
          <w:b/>
          <w:bCs/>
          <w:sz w:val="24"/>
          <w:szCs w:val="24"/>
        </w:rPr>
        <w:t xml:space="preserve"> </w:t>
      </w:r>
      <w:r>
        <w:rPr>
          <w:rFonts w:hint="eastAsia" w:ascii="宋体" w:hAnsi="宋体" w:cs="宋体"/>
          <w:b/>
          <w:bCs/>
          <w:sz w:val="24"/>
          <w:szCs w:val="24"/>
        </w:rPr>
        <w:t>科室建设（</w:t>
      </w:r>
      <w:r>
        <w:rPr>
          <w:rFonts w:ascii="宋体" w:hAnsi="宋体" w:cs="宋体"/>
          <w:b/>
          <w:bCs/>
          <w:sz w:val="24"/>
          <w:szCs w:val="24"/>
        </w:rPr>
        <w:t>18</w:t>
      </w:r>
      <w:r>
        <w:rPr>
          <w:rFonts w:hint="eastAsia" w:ascii="宋体" w:hAnsi="宋体" w:cs="宋体"/>
          <w:b/>
          <w:bCs/>
          <w:sz w:val="24"/>
          <w:szCs w:val="24"/>
        </w:rPr>
        <w:t>分）</w:t>
      </w:r>
    </w:p>
    <w:p>
      <w:pPr>
        <w:rPr>
          <w:rFonts w:hint="eastAsia" w:ascii="宋体" w:hAnsi="宋体" w:cs="宋体"/>
          <w:b/>
          <w:bCs/>
          <w:sz w:val="24"/>
          <w:szCs w:val="24"/>
        </w:rPr>
      </w:pPr>
    </w:p>
    <w:tbl>
      <w:tblPr>
        <w:tblW w:w="14183"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213"/>
        <w:gridCol w:w="2025"/>
        <w:gridCol w:w="5745"/>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98" w:hRule="atLeast"/>
        </w:trPr>
        <w:tc>
          <w:tcPr>
            <w:tcW w:w="5213" w:type="dxa"/>
            <w:vAlign w:val="center"/>
          </w:tcPr>
          <w:p>
            <w:pPr>
              <w:jc w:val="center"/>
              <w:rPr>
                <w:rFonts w:cs="Times New Roman"/>
                <w:b/>
                <w:bCs/>
              </w:rPr>
            </w:pPr>
            <w:r>
              <w:rPr>
                <w:rFonts w:hint="eastAsia" w:cs="宋体"/>
                <w:b/>
                <w:bCs/>
              </w:rPr>
              <w:t>评价指标</w:t>
            </w:r>
          </w:p>
        </w:tc>
        <w:tc>
          <w:tcPr>
            <w:tcW w:w="2025" w:type="dxa"/>
            <w:vAlign w:val="center"/>
          </w:tcPr>
          <w:p>
            <w:pPr>
              <w:jc w:val="center"/>
              <w:rPr>
                <w:rFonts w:cs="Times New Roman"/>
                <w:b/>
                <w:bCs/>
              </w:rPr>
            </w:pPr>
            <w:r>
              <w:rPr>
                <w:rFonts w:hint="eastAsia" w:cs="宋体"/>
                <w:b/>
                <w:bCs/>
              </w:rPr>
              <w:t>评价方法</w:t>
            </w:r>
          </w:p>
        </w:tc>
        <w:tc>
          <w:tcPr>
            <w:tcW w:w="5745" w:type="dxa"/>
            <w:vAlign w:val="center"/>
          </w:tcPr>
          <w:p>
            <w:pPr>
              <w:jc w:val="center"/>
              <w:rPr>
                <w:rFonts w:cs="Times New Roman"/>
                <w:b/>
                <w:bCs/>
              </w:rPr>
            </w:pPr>
            <w:r>
              <w:rPr>
                <w:rFonts w:hint="eastAsia" w:cs="宋体"/>
                <w:b/>
                <w:bCs/>
              </w:rPr>
              <w:t>评分细则</w:t>
            </w:r>
          </w:p>
        </w:tc>
        <w:tc>
          <w:tcPr>
            <w:tcW w:w="1200" w:type="dxa"/>
            <w:vAlign w:val="center"/>
          </w:tcPr>
          <w:p>
            <w:pPr>
              <w:jc w:val="center"/>
              <w:rPr>
                <w:rFonts w:cs="Times New Roman"/>
                <w:b/>
                <w:bCs/>
              </w:rPr>
            </w:pPr>
            <w:r>
              <w:rPr>
                <w:rFonts w:hint="eastAsia" w:cs="宋体"/>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65" w:hRule="atLeast"/>
        </w:trPr>
        <w:tc>
          <w:tcPr>
            <w:tcW w:w="5213" w:type="dxa"/>
            <w:vAlign w:val="top"/>
          </w:tcPr>
          <w:p>
            <w:pPr>
              <w:spacing w:line="360" w:lineRule="exact"/>
              <w:rPr>
                <w:rFonts w:cs="Times New Roman"/>
              </w:rPr>
            </w:pPr>
            <w:r>
              <w:t>1</w:t>
            </w:r>
            <w:r>
              <w:rPr>
                <w:rFonts w:hint="eastAsia" w:cs="宋体"/>
              </w:rPr>
              <w:t>．科室名称符合规定，功能定位准确，为医院的一级科室。原则上以“治未病科”（“治未病中心”）作为科室名称，由于历史沿革产生的“中医预防保健科”命名可保留；因整合健康管理资源产生的“健康管理中心（治未病）”等命名可采用。</w:t>
            </w:r>
          </w:p>
        </w:tc>
        <w:tc>
          <w:tcPr>
            <w:tcW w:w="2025" w:type="dxa"/>
            <w:vAlign w:val="top"/>
          </w:tcPr>
          <w:p>
            <w:pPr>
              <w:spacing w:line="360" w:lineRule="exact"/>
              <w:rPr>
                <w:rFonts w:cs="Times New Roman"/>
              </w:rPr>
            </w:pPr>
            <w:r>
              <w:rPr>
                <w:rFonts w:hint="eastAsia" w:cs="宋体"/>
              </w:rPr>
              <w:t>实地考察。</w:t>
            </w:r>
          </w:p>
        </w:tc>
        <w:tc>
          <w:tcPr>
            <w:tcW w:w="5745" w:type="dxa"/>
            <w:vAlign w:val="top"/>
          </w:tcPr>
          <w:p>
            <w:pPr>
              <w:spacing w:line="360" w:lineRule="exact"/>
              <w:rPr>
                <w:rFonts w:cs="Times New Roman"/>
              </w:rPr>
            </w:pPr>
            <w:r>
              <w:rPr>
                <w:rFonts w:hint="eastAsia" w:cs="宋体"/>
              </w:rPr>
              <w:t>以“国医堂”、“名医工作室”、“保健中心”、“体检部”、“预防保健科”等或同类含义文字的名称作为科室名称，不得分；把针灸科、推拿科、康复科、理疗科等临床科室及国医堂、名中医工作室等整合纳入“治未病”科，不得分；未作为医院一级科室，不得分。</w:t>
            </w:r>
          </w:p>
        </w:tc>
        <w:tc>
          <w:tcPr>
            <w:tcW w:w="1200" w:type="dxa"/>
            <w:vAlign w:val="center"/>
          </w:tcPr>
          <w:p>
            <w:pPr>
              <w:jc w:val="center"/>
            </w:pPr>
            <w: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65" w:hRule="atLeast"/>
        </w:trPr>
        <w:tc>
          <w:tcPr>
            <w:tcW w:w="5213" w:type="dxa"/>
            <w:vAlign w:val="top"/>
          </w:tcPr>
          <w:p>
            <w:pPr>
              <w:spacing w:line="360" w:lineRule="exact"/>
              <w:rPr>
                <w:rFonts w:cs="Times New Roman"/>
              </w:rPr>
            </w:pPr>
            <w:r>
              <w:t>2</w:t>
            </w:r>
            <w:r>
              <w:rPr>
                <w:rFonts w:hint="eastAsia" w:cs="宋体"/>
              </w:rPr>
              <w:t>．科室区域布局合理，面积满足业务工作需要。应设置健康状态信息采集与辨识评估区域、健康咨询与指导区域、健康干预区域、健康宣教区等功能区域。</w:t>
            </w:r>
          </w:p>
        </w:tc>
        <w:tc>
          <w:tcPr>
            <w:tcW w:w="2025" w:type="dxa"/>
            <w:vAlign w:val="top"/>
          </w:tcPr>
          <w:p>
            <w:pPr>
              <w:spacing w:line="360" w:lineRule="exact"/>
              <w:rPr>
                <w:rFonts w:cs="Times New Roman"/>
              </w:rPr>
            </w:pPr>
            <w:r>
              <w:rPr>
                <w:rFonts w:hint="eastAsia" w:cs="宋体"/>
              </w:rPr>
              <w:t>查阅相关资料；实地考察。</w:t>
            </w:r>
          </w:p>
        </w:tc>
        <w:tc>
          <w:tcPr>
            <w:tcW w:w="5745" w:type="dxa"/>
            <w:vAlign w:val="top"/>
          </w:tcPr>
          <w:p>
            <w:pPr>
              <w:spacing w:line="360" w:lineRule="exact"/>
              <w:rPr>
                <w:rFonts w:cs="Times New Roman"/>
              </w:rPr>
            </w:pPr>
            <w:r>
              <w:rPr>
                <w:rFonts w:hint="eastAsia" w:cs="宋体"/>
              </w:rPr>
              <w:t>服务区域低于</w:t>
            </w:r>
            <w:r>
              <w:t>100</w:t>
            </w:r>
            <w:r>
              <w:rPr>
                <w:rFonts w:hint="eastAsia" w:cs="宋体"/>
              </w:rPr>
              <w:t>平米，不得分；区域布局不合理酌情扣分，最多扣</w:t>
            </w:r>
            <w:r>
              <w:t>3</w:t>
            </w:r>
            <w:r>
              <w:rPr>
                <w:rFonts w:hint="eastAsia" w:cs="宋体"/>
              </w:rPr>
              <w:t>分。服务区域超过</w:t>
            </w:r>
            <w:r>
              <w:t>500</w:t>
            </w:r>
            <w:r>
              <w:rPr>
                <w:rFonts w:hint="eastAsia" w:cs="宋体"/>
              </w:rPr>
              <w:t>平米，加</w:t>
            </w:r>
            <w:r>
              <w:t>2</w:t>
            </w:r>
            <w:r>
              <w:rPr>
                <w:rFonts w:hint="eastAsia" w:cs="宋体"/>
              </w:rPr>
              <w:t>分；超过</w:t>
            </w:r>
            <w:r>
              <w:t>1000</w:t>
            </w:r>
            <w:r>
              <w:rPr>
                <w:rFonts w:hint="eastAsia" w:cs="宋体"/>
              </w:rPr>
              <w:t>平米，加</w:t>
            </w:r>
            <w:r>
              <w:t>4</w:t>
            </w:r>
            <w:r>
              <w:rPr>
                <w:rFonts w:hint="eastAsia" w:cs="宋体"/>
              </w:rPr>
              <w:t>分。</w:t>
            </w:r>
          </w:p>
        </w:tc>
        <w:tc>
          <w:tcPr>
            <w:tcW w:w="1200" w:type="dxa"/>
            <w:vAlign w:val="center"/>
          </w:tcPr>
          <w:p>
            <w:pPr>
              <w:jc w:val="center"/>
            </w:pPr>
            <w: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65" w:hRule="atLeast"/>
        </w:trPr>
        <w:tc>
          <w:tcPr>
            <w:tcW w:w="5213" w:type="dxa"/>
            <w:vAlign w:val="top"/>
          </w:tcPr>
          <w:p>
            <w:pPr>
              <w:spacing w:line="360" w:lineRule="exact"/>
              <w:rPr>
                <w:rFonts w:cs="Times New Roman"/>
              </w:rPr>
            </w:pPr>
            <w:r>
              <w:t>3</w:t>
            </w:r>
            <w:r>
              <w:rPr>
                <w:rFonts w:hint="eastAsia" w:cs="宋体"/>
              </w:rPr>
              <w:t>．配置</w:t>
            </w:r>
            <w:r>
              <w:t>6</w:t>
            </w:r>
            <w:r>
              <w:rPr>
                <w:rFonts w:hint="eastAsia" w:cs="宋体"/>
              </w:rPr>
              <w:t>类以上中医健康干预类设备，如针疗类、灸疗类、中药熏洗类、牵引类、光疗类、电疗类、磁疗类等设备；配置</w:t>
            </w:r>
            <w:r>
              <w:t>3</w:t>
            </w:r>
            <w:r>
              <w:rPr>
                <w:rFonts w:hint="eastAsia" w:cs="宋体"/>
              </w:rPr>
              <w:t>种以上中医健康状态辨识评估类设备，如体质辨识仪、四诊仪、经络检测仪、红外线热成像仪、五脏相音辨识仪等。</w:t>
            </w:r>
          </w:p>
        </w:tc>
        <w:tc>
          <w:tcPr>
            <w:tcW w:w="2025" w:type="dxa"/>
            <w:vAlign w:val="center"/>
          </w:tcPr>
          <w:p>
            <w:pPr>
              <w:spacing w:line="360" w:lineRule="exact"/>
              <w:ind w:firstLine="57"/>
              <w:jc w:val="left"/>
              <w:rPr>
                <w:rFonts w:cs="Times New Roman"/>
              </w:rPr>
            </w:pPr>
            <w:r>
              <w:rPr>
                <w:rFonts w:hint="eastAsia" w:cs="宋体"/>
              </w:rPr>
              <w:t>查阅科室设备清单和使用记录，并实地考查。</w:t>
            </w:r>
          </w:p>
        </w:tc>
        <w:tc>
          <w:tcPr>
            <w:tcW w:w="5745" w:type="dxa"/>
            <w:vAlign w:val="center"/>
          </w:tcPr>
          <w:p>
            <w:pPr>
              <w:spacing w:line="360" w:lineRule="exact"/>
              <w:rPr>
                <w:rFonts w:cs="Times New Roman"/>
              </w:rPr>
            </w:pPr>
            <w:r>
              <w:rPr>
                <w:rFonts w:hint="eastAsia" w:cs="宋体"/>
              </w:rPr>
              <w:t>健康干预类配备设备不足</w:t>
            </w:r>
            <w:r>
              <w:t>6</w:t>
            </w:r>
            <w:r>
              <w:rPr>
                <w:rFonts w:hint="eastAsia" w:cs="宋体"/>
              </w:rPr>
              <w:t>类的，每少一类扣</w:t>
            </w:r>
            <w:r>
              <w:t>2</w:t>
            </w:r>
            <w:r>
              <w:rPr>
                <w:rFonts w:hint="eastAsia" w:cs="宋体"/>
              </w:rPr>
              <w:t>分，多于</w:t>
            </w:r>
            <w:r>
              <w:t>7</w:t>
            </w:r>
            <w:r>
              <w:rPr>
                <w:rFonts w:hint="eastAsia" w:cs="宋体"/>
              </w:rPr>
              <w:t>类的，每多</w:t>
            </w:r>
            <w:r>
              <w:t>1</w:t>
            </w:r>
            <w:r>
              <w:rPr>
                <w:rFonts w:hint="eastAsia" w:cs="宋体"/>
              </w:rPr>
              <w:t>类，加</w:t>
            </w:r>
            <w:r>
              <w:t>2</w:t>
            </w:r>
            <w:r>
              <w:rPr>
                <w:rFonts w:hint="eastAsia" w:cs="宋体"/>
              </w:rPr>
              <w:t>分；无辨识评估类设备，扣</w:t>
            </w:r>
            <w:r>
              <w:t>5</w:t>
            </w:r>
            <w:r>
              <w:rPr>
                <w:rFonts w:hint="eastAsia" w:cs="宋体"/>
              </w:rPr>
              <w:t>分，不足</w:t>
            </w:r>
            <w:r>
              <w:t>3</w:t>
            </w:r>
            <w:r>
              <w:rPr>
                <w:rFonts w:hint="eastAsia" w:cs="宋体"/>
              </w:rPr>
              <w:t>种的，扣</w:t>
            </w:r>
            <w:r>
              <w:t>3</w:t>
            </w:r>
            <w:r>
              <w:rPr>
                <w:rFonts w:hint="eastAsia" w:cs="宋体"/>
              </w:rPr>
              <w:t>分，多于</w:t>
            </w:r>
            <w:r>
              <w:t>5</w:t>
            </w:r>
            <w:r>
              <w:rPr>
                <w:rFonts w:hint="eastAsia" w:cs="宋体"/>
              </w:rPr>
              <w:t>种的，加</w:t>
            </w:r>
            <w:r>
              <w:t>2</w:t>
            </w:r>
            <w:r>
              <w:rPr>
                <w:rFonts w:hint="eastAsia" w:cs="宋体"/>
              </w:rPr>
              <w:t>分，多于</w:t>
            </w:r>
            <w:r>
              <w:t>7</w:t>
            </w:r>
            <w:r>
              <w:rPr>
                <w:rFonts w:hint="eastAsia" w:cs="宋体"/>
              </w:rPr>
              <w:t>种的，加</w:t>
            </w:r>
            <w:r>
              <w:t>4</w:t>
            </w:r>
            <w:r>
              <w:rPr>
                <w:rFonts w:hint="eastAsia" w:cs="宋体"/>
              </w:rPr>
              <w:t>分。</w:t>
            </w:r>
          </w:p>
        </w:tc>
        <w:tc>
          <w:tcPr>
            <w:tcW w:w="1200" w:type="dxa"/>
            <w:vAlign w:val="center"/>
          </w:tcPr>
          <w:p>
            <w:pPr>
              <w:spacing w:line="320" w:lineRule="exact"/>
              <w:jc w:val="center"/>
              <w:rPr>
                <w:rFonts w:cs="Times New Roman"/>
              </w:rPr>
            </w:pPr>
            <w:r>
              <w:t>10</w:t>
            </w:r>
          </w:p>
        </w:tc>
      </w:tr>
    </w:tbl>
    <w:p>
      <w:pPr>
        <w:rPr>
          <w:rFonts w:cs="Times New Roman"/>
        </w:rPr>
      </w:pPr>
    </w:p>
    <w:p>
      <w:pPr>
        <w:spacing w:line="360" w:lineRule="exact"/>
        <w:rPr>
          <w:rFonts w:hint="eastAsia" w:cs="宋体"/>
          <w:b/>
          <w:bCs/>
          <w:sz w:val="24"/>
          <w:szCs w:val="24"/>
        </w:rPr>
      </w:pPr>
    </w:p>
    <w:p>
      <w:pPr>
        <w:spacing w:line="360" w:lineRule="exact"/>
        <w:rPr>
          <w:rFonts w:hint="eastAsia" w:cs="宋体"/>
          <w:b/>
          <w:bCs/>
          <w:sz w:val="24"/>
          <w:szCs w:val="24"/>
        </w:rPr>
      </w:pPr>
    </w:p>
    <w:p>
      <w:pPr>
        <w:spacing w:line="360" w:lineRule="exact"/>
        <w:rPr>
          <w:rFonts w:hint="eastAsia" w:cs="宋体"/>
          <w:b/>
          <w:bCs/>
          <w:sz w:val="24"/>
          <w:szCs w:val="24"/>
        </w:rPr>
      </w:pPr>
    </w:p>
    <w:p>
      <w:pPr>
        <w:numPr>
          <w:ilvl w:val="0"/>
          <w:numId w:val="1"/>
        </w:numPr>
        <w:spacing w:line="360" w:lineRule="exact"/>
        <w:rPr>
          <w:rFonts w:hint="eastAsia" w:cs="宋体"/>
          <w:b/>
          <w:bCs/>
          <w:sz w:val="24"/>
          <w:szCs w:val="24"/>
        </w:rPr>
      </w:pPr>
      <w:r>
        <w:rPr>
          <w:rFonts w:hint="eastAsia" w:cs="宋体"/>
          <w:b/>
          <w:bCs/>
          <w:sz w:val="24"/>
          <w:szCs w:val="24"/>
        </w:rPr>
        <w:t>人才队伍（</w:t>
      </w:r>
      <w:r>
        <w:rPr>
          <w:b/>
          <w:bCs/>
          <w:sz w:val="24"/>
          <w:szCs w:val="24"/>
        </w:rPr>
        <w:t>8</w:t>
      </w:r>
      <w:r>
        <w:rPr>
          <w:rFonts w:hint="eastAsia" w:cs="宋体"/>
          <w:b/>
          <w:bCs/>
          <w:sz w:val="24"/>
          <w:szCs w:val="24"/>
        </w:rPr>
        <w:t>分）</w:t>
      </w:r>
    </w:p>
    <w:p>
      <w:pPr>
        <w:numPr>
          <w:numId w:val="0"/>
        </w:numPr>
        <w:spacing w:line="360" w:lineRule="exact"/>
        <w:rPr>
          <w:rFonts w:hint="eastAsia" w:cs="宋体"/>
          <w:b/>
          <w:bCs/>
          <w:sz w:val="24"/>
          <w:szCs w:val="24"/>
        </w:rPr>
      </w:pPr>
    </w:p>
    <w:tbl>
      <w:tblPr>
        <w:tblW w:w="1419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198"/>
        <w:gridCol w:w="2070"/>
        <w:gridCol w:w="5700"/>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0" w:hRule="atLeast"/>
        </w:trPr>
        <w:tc>
          <w:tcPr>
            <w:tcW w:w="5198" w:type="dxa"/>
            <w:vAlign w:val="center"/>
          </w:tcPr>
          <w:p>
            <w:pPr>
              <w:spacing w:line="360" w:lineRule="exact"/>
              <w:rPr>
                <w:rFonts w:cs="Times New Roman"/>
              </w:rPr>
            </w:pPr>
            <w:r>
              <w:t>1</w:t>
            </w:r>
            <w:r>
              <w:rPr>
                <w:rFonts w:hint="eastAsia" w:cs="宋体"/>
              </w:rPr>
              <w:t>．专职医护人员数量不少于</w:t>
            </w:r>
            <w:r>
              <w:t>8</w:t>
            </w:r>
            <w:r>
              <w:rPr>
                <w:rFonts w:hint="eastAsia" w:cs="宋体"/>
              </w:rPr>
              <w:t>人，中医类医护人员比例不低于</w:t>
            </w:r>
            <w:r>
              <w:t>75%</w:t>
            </w:r>
            <w:r>
              <w:rPr>
                <w:rFonts w:hint="eastAsia" w:cs="宋体"/>
              </w:rPr>
              <w:t>。</w:t>
            </w:r>
          </w:p>
        </w:tc>
        <w:tc>
          <w:tcPr>
            <w:tcW w:w="2070" w:type="dxa"/>
            <w:vAlign w:val="center"/>
          </w:tcPr>
          <w:p>
            <w:pPr>
              <w:spacing w:line="360" w:lineRule="exact"/>
              <w:ind w:firstLine="57"/>
              <w:jc w:val="left"/>
              <w:rPr>
                <w:rFonts w:cs="Times New Roman"/>
              </w:rPr>
            </w:pPr>
            <w:r>
              <w:rPr>
                <w:rFonts w:hint="eastAsia" w:cs="宋体"/>
              </w:rPr>
              <w:t>查阅本年度人员档案及相关证明材料。</w:t>
            </w:r>
          </w:p>
        </w:tc>
        <w:tc>
          <w:tcPr>
            <w:tcW w:w="5700" w:type="dxa"/>
            <w:vAlign w:val="center"/>
          </w:tcPr>
          <w:p>
            <w:pPr>
              <w:spacing w:line="360" w:lineRule="exact"/>
              <w:rPr>
                <w:rFonts w:ascii="仿宋_GB2312" w:hAnsi="宋体" w:eastAsia="仿宋_GB2312" w:cs="Times New Roman"/>
                <w:kern w:val="0"/>
                <w:sz w:val="24"/>
                <w:szCs w:val="24"/>
              </w:rPr>
            </w:pPr>
            <w:r>
              <w:rPr>
                <w:rFonts w:hint="eastAsia" w:cs="宋体"/>
              </w:rPr>
              <w:t>专职医护人员少于</w:t>
            </w:r>
            <w:r>
              <w:t>6</w:t>
            </w:r>
            <w:r>
              <w:rPr>
                <w:rFonts w:hint="eastAsia" w:cs="宋体"/>
              </w:rPr>
              <w:t>人，不得分；</w:t>
            </w:r>
            <w:r>
              <w:t>6-7</w:t>
            </w:r>
            <w:r>
              <w:rPr>
                <w:rFonts w:hint="eastAsia" w:cs="宋体"/>
              </w:rPr>
              <w:t>人，扣</w:t>
            </w:r>
            <w:r>
              <w:t>2</w:t>
            </w:r>
            <w:r>
              <w:rPr>
                <w:rFonts w:hint="eastAsia" w:cs="宋体"/>
              </w:rPr>
              <w:t>分。专职医护人员多于</w:t>
            </w:r>
            <w:r>
              <w:t>10</w:t>
            </w:r>
            <w:r>
              <w:rPr>
                <w:rFonts w:hint="eastAsia" w:cs="宋体"/>
              </w:rPr>
              <w:t>人，加</w:t>
            </w:r>
            <w:r>
              <w:t>2</w:t>
            </w:r>
            <w:r>
              <w:rPr>
                <w:rFonts w:hint="eastAsia" w:cs="宋体"/>
              </w:rPr>
              <w:t>分；多于</w:t>
            </w:r>
            <w:r>
              <w:t>15</w:t>
            </w:r>
            <w:r>
              <w:rPr>
                <w:rFonts w:hint="eastAsia" w:cs="宋体"/>
              </w:rPr>
              <w:t>人，加</w:t>
            </w:r>
            <w:r>
              <w:t>4</w:t>
            </w:r>
            <w:r>
              <w:rPr>
                <w:rFonts w:hint="eastAsia" w:cs="宋体"/>
              </w:rPr>
              <w:t>分。</w:t>
            </w:r>
          </w:p>
        </w:tc>
        <w:tc>
          <w:tcPr>
            <w:tcW w:w="1230" w:type="dxa"/>
            <w:vAlign w:val="center"/>
          </w:tcPr>
          <w:p>
            <w:pPr>
              <w:spacing w:line="360" w:lineRule="exact"/>
              <w:jc w:val="center"/>
              <w:rPr>
                <w:rFonts w:ascii="仿宋_GB2312" w:hAnsi="宋体" w:eastAsia="仿宋_GB2312" w:cs="Times New Roman"/>
                <w:kern w:val="0"/>
                <w:sz w:val="24"/>
                <w:szCs w:val="24"/>
              </w:rPr>
            </w:pP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65" w:hRule="atLeast"/>
        </w:trPr>
        <w:tc>
          <w:tcPr>
            <w:tcW w:w="5198" w:type="dxa"/>
            <w:vAlign w:val="top"/>
          </w:tcPr>
          <w:p>
            <w:pPr>
              <w:spacing w:line="360" w:lineRule="exact"/>
              <w:rPr>
                <w:rFonts w:cs="Times New Roman"/>
              </w:rPr>
            </w:pPr>
            <w:r>
              <w:t>2.</w:t>
            </w:r>
            <w:r>
              <w:rPr>
                <w:rFonts w:hint="eastAsia" w:cs="宋体"/>
              </w:rPr>
              <w:t>人才梯队合理。具有高级专业技术职务任职资格人员比例≥</w:t>
            </w:r>
            <w:r>
              <w:t>30%</w:t>
            </w:r>
            <w:r>
              <w:rPr>
                <w:rFonts w:hint="eastAsia" w:cs="宋体"/>
              </w:rPr>
              <w:t>，具有硕士研究生以上学历人员比例≥</w:t>
            </w:r>
            <w:r>
              <w:t>30%</w:t>
            </w:r>
            <w:r>
              <w:rPr>
                <w:rFonts w:hint="eastAsia" w:cs="宋体"/>
              </w:rPr>
              <w:t>。</w:t>
            </w:r>
          </w:p>
        </w:tc>
        <w:tc>
          <w:tcPr>
            <w:tcW w:w="2070" w:type="dxa"/>
            <w:vAlign w:val="top"/>
          </w:tcPr>
          <w:p>
            <w:pPr>
              <w:spacing w:line="360" w:lineRule="exact"/>
              <w:ind w:firstLine="57"/>
              <w:jc w:val="left"/>
              <w:rPr>
                <w:rFonts w:cs="Times New Roman"/>
              </w:rPr>
            </w:pPr>
            <w:r>
              <w:rPr>
                <w:rFonts w:hint="eastAsia" w:cs="宋体"/>
              </w:rPr>
              <w:t>查阅本年度人员档案及相关证明材料。</w:t>
            </w:r>
          </w:p>
        </w:tc>
        <w:tc>
          <w:tcPr>
            <w:tcW w:w="5700" w:type="dxa"/>
            <w:vAlign w:val="top"/>
          </w:tcPr>
          <w:p>
            <w:pPr>
              <w:spacing w:line="360" w:lineRule="exact"/>
              <w:rPr>
                <w:rFonts w:cs="Times New Roman"/>
              </w:rPr>
            </w:pPr>
            <w:r>
              <w:rPr>
                <w:rFonts w:hint="eastAsia" w:cs="宋体"/>
              </w:rPr>
              <w:t>高级专业技术职务任职资格人员比例低于</w:t>
            </w:r>
            <w:r>
              <w:t>30%</w:t>
            </w:r>
            <w:r>
              <w:rPr>
                <w:rFonts w:hint="eastAsia" w:cs="宋体"/>
              </w:rPr>
              <w:t>，扣</w:t>
            </w:r>
            <w:r>
              <w:t>1.5</w:t>
            </w:r>
            <w:r>
              <w:rPr>
                <w:rFonts w:hint="eastAsia" w:cs="宋体"/>
              </w:rPr>
              <w:t>分；中医专业硕士以上学历人员占科室医师比例低于</w:t>
            </w:r>
            <w:r>
              <w:t>30%</w:t>
            </w:r>
            <w:r>
              <w:rPr>
                <w:rFonts w:hint="eastAsia" w:cs="宋体"/>
              </w:rPr>
              <w:t>，扣</w:t>
            </w:r>
            <w:r>
              <w:t>1.5</w:t>
            </w:r>
            <w:r>
              <w:rPr>
                <w:rFonts w:hint="eastAsia" w:cs="宋体"/>
              </w:rPr>
              <w:t>分。</w:t>
            </w:r>
          </w:p>
        </w:tc>
        <w:tc>
          <w:tcPr>
            <w:tcW w:w="1230" w:type="dxa"/>
            <w:vAlign w:val="center"/>
          </w:tcPr>
          <w:p>
            <w:pPr>
              <w:spacing w:line="360" w:lineRule="exact"/>
              <w:jc w:val="center"/>
            </w:pPr>
            <w:r>
              <w:t>3</w:t>
            </w:r>
          </w:p>
        </w:tc>
      </w:tr>
    </w:tbl>
    <w:p>
      <w:pPr>
        <w:spacing w:line="360" w:lineRule="exact"/>
        <w:rPr>
          <w:rFonts w:cs="Times New Roman"/>
        </w:rPr>
      </w:pPr>
    </w:p>
    <w:p>
      <w:pPr>
        <w:numPr>
          <w:ilvl w:val="0"/>
          <w:numId w:val="1"/>
        </w:numPr>
        <w:spacing w:line="360" w:lineRule="exact"/>
        <w:rPr>
          <w:rFonts w:hint="eastAsia" w:cs="宋体"/>
          <w:b/>
          <w:bCs/>
          <w:sz w:val="24"/>
          <w:szCs w:val="24"/>
        </w:rPr>
      </w:pPr>
      <w:r>
        <w:rPr>
          <w:rFonts w:hint="eastAsia" w:cs="宋体"/>
          <w:b/>
          <w:bCs/>
          <w:sz w:val="24"/>
          <w:szCs w:val="24"/>
        </w:rPr>
        <w:t>服务能力（</w:t>
      </w:r>
      <w:r>
        <w:rPr>
          <w:b/>
          <w:bCs/>
          <w:sz w:val="24"/>
          <w:szCs w:val="24"/>
        </w:rPr>
        <w:t>50</w:t>
      </w:r>
      <w:r>
        <w:rPr>
          <w:rFonts w:hint="eastAsia" w:cs="宋体"/>
          <w:b/>
          <w:bCs/>
          <w:sz w:val="24"/>
          <w:szCs w:val="24"/>
        </w:rPr>
        <w:t>分）</w:t>
      </w:r>
    </w:p>
    <w:p>
      <w:pPr>
        <w:numPr>
          <w:numId w:val="0"/>
        </w:numPr>
        <w:spacing w:line="360" w:lineRule="exact"/>
        <w:rPr>
          <w:rFonts w:hint="eastAsia" w:cs="宋体"/>
          <w:b/>
          <w:bCs/>
          <w:sz w:val="24"/>
          <w:szCs w:val="24"/>
        </w:rPr>
      </w:pPr>
    </w:p>
    <w:tbl>
      <w:tblPr>
        <w:tblW w:w="1422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183"/>
        <w:gridCol w:w="2070"/>
        <w:gridCol w:w="571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9" w:hRule="atLeast"/>
        </w:trPr>
        <w:tc>
          <w:tcPr>
            <w:tcW w:w="5183" w:type="dxa"/>
            <w:vAlign w:val="top"/>
          </w:tcPr>
          <w:p>
            <w:pPr>
              <w:spacing w:line="360" w:lineRule="exact"/>
              <w:rPr>
                <w:rFonts w:cs="Times New Roman"/>
              </w:rPr>
            </w:pPr>
            <w:r>
              <w:t>1</w:t>
            </w:r>
            <w:r>
              <w:rPr>
                <w:rFonts w:hint="eastAsia" w:cs="宋体"/>
              </w:rPr>
              <w:t>．为群众提供中医健康管理全程服务，服务流程合理，服务量达到一定规模（指建有中医健康档案并开展了中医体检及干预等个性化服务的人次，三伏贴等群体性服务不列入服务量计算范围）。</w:t>
            </w:r>
          </w:p>
        </w:tc>
        <w:tc>
          <w:tcPr>
            <w:tcW w:w="2070" w:type="dxa"/>
            <w:vAlign w:val="top"/>
          </w:tcPr>
          <w:p>
            <w:pPr>
              <w:spacing w:line="360" w:lineRule="exact"/>
              <w:rPr>
                <w:rFonts w:cs="Times New Roman"/>
              </w:rPr>
            </w:pPr>
            <w:r>
              <w:rPr>
                <w:rFonts w:hint="eastAsia" w:cs="宋体"/>
              </w:rPr>
              <w:t>查阅医院统计报表等相关资料。</w:t>
            </w:r>
          </w:p>
        </w:tc>
        <w:tc>
          <w:tcPr>
            <w:tcW w:w="5715" w:type="dxa"/>
            <w:vAlign w:val="top"/>
          </w:tcPr>
          <w:p>
            <w:pPr>
              <w:spacing w:line="360" w:lineRule="exact"/>
              <w:rPr>
                <w:rFonts w:cs="Times New Roman"/>
              </w:rPr>
            </w:pPr>
            <w:r>
              <w:rPr>
                <w:rFonts w:hint="eastAsia" w:cs="宋体"/>
              </w:rPr>
              <w:t>未提供服务，不得分；服务流程不合理，酌情扣分，最少扣</w:t>
            </w:r>
            <w:r>
              <w:t>3</w:t>
            </w:r>
            <w:r>
              <w:rPr>
                <w:rFonts w:hint="eastAsia" w:cs="宋体"/>
              </w:rPr>
              <w:t>分；服务量低于</w:t>
            </w:r>
            <w:r>
              <w:t>5000</w:t>
            </w:r>
            <w:r>
              <w:rPr>
                <w:rFonts w:hint="eastAsia" w:cs="宋体"/>
              </w:rPr>
              <w:t>人次</w:t>
            </w:r>
            <w:r>
              <w:t>/</w:t>
            </w:r>
            <w:r>
              <w:rPr>
                <w:rFonts w:hint="eastAsia" w:cs="宋体"/>
              </w:rPr>
              <w:t>年，每少</w:t>
            </w:r>
            <w:r>
              <w:t>1000</w:t>
            </w:r>
            <w:r>
              <w:rPr>
                <w:rFonts w:hint="eastAsia" w:cs="宋体"/>
              </w:rPr>
              <w:t>人次，扣</w:t>
            </w:r>
            <w:r>
              <w:t>1.5</w:t>
            </w:r>
            <w:r>
              <w:rPr>
                <w:rFonts w:hint="eastAsia" w:cs="宋体"/>
              </w:rPr>
              <w:t>分；高于</w:t>
            </w:r>
            <w:r>
              <w:t>8000</w:t>
            </w:r>
            <w:r>
              <w:rPr>
                <w:rFonts w:hint="eastAsia" w:cs="宋体"/>
              </w:rPr>
              <w:t>人次</w:t>
            </w:r>
            <w:r>
              <w:t>/</w:t>
            </w:r>
            <w:r>
              <w:rPr>
                <w:rFonts w:hint="eastAsia" w:cs="宋体"/>
              </w:rPr>
              <w:t>年，每多</w:t>
            </w:r>
            <w:r>
              <w:t>1000</w:t>
            </w:r>
            <w:r>
              <w:rPr>
                <w:rFonts w:hint="eastAsia" w:cs="宋体"/>
              </w:rPr>
              <w:t>人次，加</w:t>
            </w:r>
            <w:r>
              <w:t>1</w:t>
            </w:r>
            <w:r>
              <w:rPr>
                <w:rFonts w:hint="eastAsia" w:cs="宋体"/>
              </w:rPr>
              <w:t>分。</w:t>
            </w:r>
          </w:p>
        </w:tc>
        <w:tc>
          <w:tcPr>
            <w:tcW w:w="1260" w:type="dxa"/>
            <w:vAlign w:val="center"/>
          </w:tcPr>
          <w:p>
            <w:pPr>
              <w:spacing w:line="360" w:lineRule="exact"/>
              <w:jc w:val="center"/>
            </w:pPr>
            <w: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9" w:hRule="atLeast"/>
        </w:trPr>
        <w:tc>
          <w:tcPr>
            <w:tcW w:w="5183" w:type="dxa"/>
            <w:vAlign w:val="top"/>
          </w:tcPr>
          <w:p>
            <w:pPr>
              <w:spacing w:line="360" w:lineRule="exact"/>
              <w:rPr>
                <w:rFonts w:cs="Times New Roman"/>
              </w:rPr>
            </w:pPr>
            <w:r>
              <w:t>2</w:t>
            </w:r>
            <w:r>
              <w:rPr>
                <w:rFonts w:hint="eastAsia" w:cs="宋体"/>
              </w:rPr>
              <w:t>．建立健康管理数据库，为服务人群建立中医健康档案。</w:t>
            </w:r>
          </w:p>
        </w:tc>
        <w:tc>
          <w:tcPr>
            <w:tcW w:w="2070" w:type="dxa"/>
            <w:vAlign w:val="top"/>
          </w:tcPr>
          <w:p>
            <w:pPr>
              <w:spacing w:line="360" w:lineRule="exact"/>
              <w:rPr>
                <w:rFonts w:cs="Times New Roman"/>
              </w:rPr>
            </w:pPr>
            <w:r>
              <w:rPr>
                <w:rFonts w:hint="eastAsia" w:cs="宋体"/>
              </w:rPr>
              <w:t>查阅相关资料；实地考察。</w:t>
            </w:r>
          </w:p>
        </w:tc>
        <w:tc>
          <w:tcPr>
            <w:tcW w:w="5715" w:type="dxa"/>
            <w:vAlign w:val="top"/>
          </w:tcPr>
          <w:p>
            <w:pPr>
              <w:spacing w:line="360" w:lineRule="exact"/>
              <w:rPr>
                <w:rFonts w:cs="Times New Roman"/>
              </w:rPr>
            </w:pPr>
            <w:r>
              <w:rPr>
                <w:rFonts w:hint="eastAsia" w:cs="宋体"/>
              </w:rPr>
              <w:t>未建立数据库，不得分；数据库资料不全，酌情扣分；不能提供原始资料，扣</w:t>
            </w:r>
            <w:r>
              <w:t>2</w:t>
            </w:r>
            <w:r>
              <w:rPr>
                <w:rFonts w:hint="eastAsia" w:cs="宋体"/>
              </w:rPr>
              <w:t>分。</w:t>
            </w:r>
          </w:p>
        </w:tc>
        <w:tc>
          <w:tcPr>
            <w:tcW w:w="1260" w:type="dxa"/>
            <w:vAlign w:val="center"/>
          </w:tcPr>
          <w:p>
            <w:pPr>
              <w:spacing w:line="360" w:lineRule="exact"/>
              <w:jc w:val="center"/>
            </w:pPr>
            <w: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65" w:hRule="atLeast"/>
        </w:trPr>
        <w:tc>
          <w:tcPr>
            <w:tcW w:w="5183" w:type="dxa"/>
            <w:vAlign w:val="top"/>
          </w:tcPr>
          <w:p>
            <w:pPr>
              <w:spacing w:line="360" w:lineRule="exact"/>
              <w:rPr>
                <w:rFonts w:cs="Times New Roman"/>
              </w:rPr>
            </w:pPr>
            <w:r>
              <w:t>3</w:t>
            </w:r>
            <w:r>
              <w:rPr>
                <w:rFonts w:hint="eastAsia" w:cs="宋体"/>
              </w:rPr>
              <w:t>．开展中医健康状态辨识及评估服务。</w:t>
            </w:r>
          </w:p>
        </w:tc>
        <w:tc>
          <w:tcPr>
            <w:tcW w:w="2070" w:type="dxa"/>
            <w:vAlign w:val="top"/>
          </w:tcPr>
          <w:p>
            <w:pPr>
              <w:spacing w:line="360" w:lineRule="exact"/>
              <w:rPr>
                <w:rFonts w:cs="Times New Roman"/>
              </w:rPr>
            </w:pPr>
            <w:r>
              <w:rPr>
                <w:rFonts w:hint="eastAsia" w:cs="宋体"/>
              </w:rPr>
              <w:t>查阅相关资料；实地考察。</w:t>
            </w:r>
          </w:p>
        </w:tc>
        <w:tc>
          <w:tcPr>
            <w:tcW w:w="5715" w:type="dxa"/>
            <w:vAlign w:val="top"/>
          </w:tcPr>
          <w:p>
            <w:pPr>
              <w:spacing w:line="360" w:lineRule="exact"/>
              <w:rPr>
                <w:rFonts w:cs="Times New Roman"/>
              </w:rPr>
            </w:pPr>
            <w:r>
              <w:rPr>
                <w:rFonts w:hint="eastAsia" w:cs="宋体"/>
              </w:rPr>
              <w:t>开展中医体质辨识，经络评估、脏腑功能检测、血气状态分析等中医体检项目，不足</w:t>
            </w:r>
            <w:r>
              <w:t>3</w:t>
            </w:r>
            <w:r>
              <w:rPr>
                <w:rFonts w:hint="eastAsia" w:cs="宋体"/>
              </w:rPr>
              <w:t>项，每少一项扣</w:t>
            </w:r>
            <w:r>
              <w:t>3</w:t>
            </w:r>
            <w:r>
              <w:rPr>
                <w:rFonts w:hint="eastAsia" w:cs="宋体"/>
              </w:rPr>
              <w:t>分；超过</w:t>
            </w:r>
            <w:r>
              <w:t>5</w:t>
            </w:r>
            <w:r>
              <w:rPr>
                <w:rFonts w:hint="eastAsia" w:cs="宋体"/>
              </w:rPr>
              <w:t>项，每多</w:t>
            </w:r>
            <w:r>
              <w:t>1</w:t>
            </w:r>
            <w:r>
              <w:rPr>
                <w:rFonts w:hint="eastAsia" w:cs="宋体"/>
              </w:rPr>
              <w:t>项，加</w:t>
            </w:r>
            <w:r>
              <w:t>2</w:t>
            </w:r>
            <w:r>
              <w:rPr>
                <w:rFonts w:hint="eastAsia" w:cs="宋体"/>
              </w:rPr>
              <w:t>分。</w:t>
            </w:r>
          </w:p>
        </w:tc>
        <w:tc>
          <w:tcPr>
            <w:tcW w:w="1260" w:type="dxa"/>
            <w:vAlign w:val="center"/>
          </w:tcPr>
          <w:p>
            <w:pPr>
              <w:spacing w:line="360" w:lineRule="exact"/>
              <w:jc w:val="center"/>
            </w:pPr>
            <w: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65" w:hRule="atLeast"/>
        </w:trPr>
        <w:tc>
          <w:tcPr>
            <w:tcW w:w="5183" w:type="dxa"/>
            <w:vAlign w:val="top"/>
          </w:tcPr>
          <w:p>
            <w:pPr>
              <w:spacing w:line="360" w:lineRule="exact"/>
              <w:rPr>
                <w:rFonts w:cs="Times New Roman"/>
              </w:rPr>
            </w:pPr>
            <w:r>
              <w:t>4</w:t>
            </w:r>
            <w:r>
              <w:rPr>
                <w:rFonts w:hint="eastAsia" w:cs="宋体"/>
              </w:rPr>
              <w:t>．应用中医特色干预技术，如针刺、灸法、拔罐、推拿、穴位贴敷、埋线、药浴、熏洗（蒸）、刮痧、砭石、音疗，及热疗、电疗及其它理疗技术。</w:t>
            </w:r>
          </w:p>
        </w:tc>
        <w:tc>
          <w:tcPr>
            <w:tcW w:w="2070" w:type="dxa"/>
            <w:vAlign w:val="top"/>
          </w:tcPr>
          <w:p>
            <w:pPr>
              <w:spacing w:line="360" w:lineRule="exact"/>
              <w:rPr>
                <w:rFonts w:cs="Times New Roman"/>
              </w:rPr>
            </w:pPr>
            <w:r>
              <w:rPr>
                <w:rFonts w:hint="eastAsia" w:cs="宋体"/>
              </w:rPr>
              <w:t>查阅科室信息报表等资料；实地考察。</w:t>
            </w:r>
          </w:p>
        </w:tc>
        <w:tc>
          <w:tcPr>
            <w:tcW w:w="5715" w:type="dxa"/>
            <w:vAlign w:val="top"/>
          </w:tcPr>
          <w:p>
            <w:pPr>
              <w:spacing w:line="360" w:lineRule="exact"/>
              <w:rPr>
                <w:rFonts w:cs="Times New Roman"/>
              </w:rPr>
            </w:pPr>
            <w:r>
              <w:rPr>
                <w:rFonts w:hint="eastAsia" w:cs="宋体"/>
              </w:rPr>
              <w:t>专科特色“治未病”服务技术应用不足</w:t>
            </w:r>
            <w:r>
              <w:t>8</w:t>
            </w:r>
            <w:r>
              <w:rPr>
                <w:rFonts w:hint="eastAsia" w:cs="宋体"/>
              </w:rPr>
              <w:t>项，每少</w:t>
            </w:r>
            <w:r>
              <w:t>1</w:t>
            </w:r>
            <w:r>
              <w:rPr>
                <w:rFonts w:hint="eastAsia" w:cs="宋体"/>
              </w:rPr>
              <w:t>项扣</w:t>
            </w:r>
            <w:r>
              <w:t>2</w:t>
            </w:r>
            <w:r>
              <w:rPr>
                <w:rFonts w:hint="eastAsia" w:cs="宋体"/>
              </w:rPr>
              <w:t>分，</w:t>
            </w:r>
            <w:r>
              <w:t>8</w:t>
            </w:r>
            <w:r>
              <w:rPr>
                <w:rFonts w:hint="eastAsia" w:cs="宋体"/>
              </w:rPr>
              <w:t>项以上每多</w:t>
            </w:r>
            <w:r>
              <w:t>1</w:t>
            </w:r>
            <w:r>
              <w:rPr>
                <w:rFonts w:hint="eastAsia" w:cs="宋体"/>
              </w:rPr>
              <w:t>项加</w:t>
            </w:r>
            <w:r>
              <w:t>1</w:t>
            </w:r>
            <w:r>
              <w:rPr>
                <w:rFonts w:hint="eastAsia" w:cs="宋体"/>
              </w:rPr>
              <w:t>分。</w:t>
            </w:r>
          </w:p>
        </w:tc>
        <w:tc>
          <w:tcPr>
            <w:tcW w:w="1260" w:type="dxa"/>
            <w:vAlign w:val="center"/>
          </w:tcPr>
          <w:p>
            <w:pPr>
              <w:spacing w:line="360" w:lineRule="exact"/>
              <w:jc w:val="center"/>
            </w:pPr>
            <w: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65" w:hRule="atLeast"/>
        </w:trPr>
        <w:tc>
          <w:tcPr>
            <w:tcW w:w="5183" w:type="dxa"/>
            <w:vAlign w:val="top"/>
          </w:tcPr>
          <w:p>
            <w:pPr>
              <w:spacing w:line="360" w:lineRule="exact"/>
              <w:rPr>
                <w:rFonts w:cs="Times New Roman"/>
              </w:rPr>
            </w:pPr>
            <w:r>
              <w:t>5</w:t>
            </w:r>
            <w:r>
              <w:rPr>
                <w:rFonts w:hint="eastAsia" w:cs="宋体"/>
              </w:rPr>
              <w:t>．制订并实施</w:t>
            </w:r>
            <w:r>
              <w:t>3</w:t>
            </w:r>
            <w:r>
              <w:rPr>
                <w:rFonts w:hint="eastAsia" w:cs="宋体"/>
              </w:rPr>
              <w:t>个以上符合本地实际情况的常见病多发病高危人群和偏颇体质人群中医预防保健服务技术指南，并在应用过程中不断优化完善。</w:t>
            </w:r>
          </w:p>
        </w:tc>
        <w:tc>
          <w:tcPr>
            <w:tcW w:w="2070" w:type="dxa"/>
            <w:vAlign w:val="top"/>
          </w:tcPr>
          <w:p>
            <w:pPr>
              <w:spacing w:line="360" w:lineRule="exact"/>
              <w:rPr>
                <w:rFonts w:cs="Times New Roman"/>
              </w:rPr>
            </w:pPr>
            <w:r>
              <w:rPr>
                <w:rFonts w:hint="eastAsia" w:cs="宋体"/>
              </w:rPr>
              <w:t>查阅相关资料；现场访谈。</w:t>
            </w:r>
          </w:p>
        </w:tc>
        <w:tc>
          <w:tcPr>
            <w:tcW w:w="5715" w:type="dxa"/>
            <w:vAlign w:val="top"/>
          </w:tcPr>
          <w:p>
            <w:pPr>
              <w:spacing w:line="360" w:lineRule="exact"/>
              <w:rPr>
                <w:rFonts w:cs="Times New Roman"/>
              </w:rPr>
            </w:pPr>
            <w:r>
              <w:rPr>
                <w:rFonts w:hint="eastAsia" w:cs="宋体"/>
              </w:rPr>
              <w:t>未制订或制定未实施常见病多发病高危人群和偏颇体质人群中医预防保健服务技术指南，不得分；少于</w:t>
            </w:r>
            <w:r>
              <w:t>3</w:t>
            </w:r>
            <w:r>
              <w:rPr>
                <w:rFonts w:hint="eastAsia" w:cs="宋体"/>
              </w:rPr>
              <w:t>项的，每少一项扣</w:t>
            </w:r>
            <w:r>
              <w:t>2</w:t>
            </w:r>
            <w:r>
              <w:rPr>
                <w:rFonts w:hint="eastAsia" w:cs="宋体"/>
              </w:rPr>
              <w:t>分；</w:t>
            </w:r>
            <w:r>
              <w:t>3</w:t>
            </w:r>
            <w:r>
              <w:rPr>
                <w:rFonts w:hint="eastAsia" w:cs="宋体"/>
              </w:rPr>
              <w:t>项以上，每多一项加</w:t>
            </w:r>
            <w:r>
              <w:t>2</w:t>
            </w:r>
            <w:r>
              <w:rPr>
                <w:rFonts w:hint="eastAsia" w:cs="宋体"/>
              </w:rPr>
              <w:t>分。</w:t>
            </w:r>
          </w:p>
        </w:tc>
        <w:tc>
          <w:tcPr>
            <w:tcW w:w="1260" w:type="dxa"/>
            <w:vAlign w:val="center"/>
          </w:tcPr>
          <w:p>
            <w:pPr>
              <w:spacing w:line="360" w:lineRule="exact"/>
              <w:jc w:val="center"/>
            </w:pPr>
            <w: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65" w:hRule="atLeast"/>
        </w:trPr>
        <w:tc>
          <w:tcPr>
            <w:tcW w:w="5183" w:type="dxa"/>
            <w:vAlign w:val="top"/>
          </w:tcPr>
          <w:p>
            <w:pPr>
              <w:spacing w:line="360" w:lineRule="exact"/>
              <w:rPr>
                <w:rFonts w:cs="Times New Roman"/>
              </w:rPr>
            </w:pPr>
            <w:r>
              <w:t>6</w:t>
            </w:r>
            <w:r>
              <w:rPr>
                <w:rFonts w:hint="eastAsia" w:cs="宋体"/>
              </w:rPr>
              <w:t>．开展中医“治未病”服务效果的总结、分析及评价工作。</w:t>
            </w:r>
          </w:p>
        </w:tc>
        <w:tc>
          <w:tcPr>
            <w:tcW w:w="2070" w:type="dxa"/>
            <w:vAlign w:val="center"/>
          </w:tcPr>
          <w:p>
            <w:pPr>
              <w:spacing w:line="360" w:lineRule="exact"/>
              <w:jc w:val="left"/>
              <w:rPr>
                <w:rFonts w:cs="Times New Roman"/>
              </w:rPr>
            </w:pPr>
            <w:r>
              <w:rPr>
                <w:rFonts w:hint="eastAsia" w:cs="宋体"/>
              </w:rPr>
              <w:t>查阅相关资料。</w:t>
            </w:r>
          </w:p>
        </w:tc>
        <w:tc>
          <w:tcPr>
            <w:tcW w:w="5715" w:type="dxa"/>
            <w:vAlign w:val="center"/>
          </w:tcPr>
          <w:p>
            <w:pPr>
              <w:spacing w:line="360" w:lineRule="exact"/>
              <w:rPr>
                <w:rFonts w:cs="Times New Roman"/>
              </w:rPr>
            </w:pPr>
            <w:r>
              <w:rPr>
                <w:rFonts w:hint="eastAsia" w:cs="宋体"/>
              </w:rPr>
              <w:t>未开展服务效果评价工作，不得分；追踪服务效果人群占建档人群比重大于</w:t>
            </w:r>
            <w:r>
              <w:t>30%</w:t>
            </w:r>
            <w:r>
              <w:rPr>
                <w:rFonts w:hint="eastAsia" w:cs="宋体"/>
              </w:rPr>
              <w:t>，加</w:t>
            </w:r>
            <w:r>
              <w:t>3</w:t>
            </w:r>
            <w:r>
              <w:rPr>
                <w:rFonts w:hint="eastAsia" w:cs="宋体"/>
              </w:rPr>
              <w:t>分。</w:t>
            </w:r>
          </w:p>
        </w:tc>
        <w:tc>
          <w:tcPr>
            <w:tcW w:w="1260" w:type="dxa"/>
            <w:vAlign w:val="center"/>
          </w:tcPr>
          <w:p>
            <w:pPr>
              <w:spacing w:line="360" w:lineRule="exact"/>
              <w:jc w:val="center"/>
              <w:rPr>
                <w:rFonts w:ascii="仿宋_GB2312" w:hAnsi="宋体" w:eastAsia="仿宋_GB2312" w:cs="Times New Roman"/>
                <w:kern w:val="0"/>
                <w:sz w:val="24"/>
                <w:szCs w:val="24"/>
              </w:rPr>
            </w:pP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13" w:hRule="atLeast"/>
        </w:trPr>
        <w:tc>
          <w:tcPr>
            <w:tcW w:w="5183" w:type="dxa"/>
            <w:vAlign w:val="center"/>
          </w:tcPr>
          <w:p>
            <w:pPr>
              <w:spacing w:line="360" w:lineRule="exact"/>
              <w:rPr>
                <w:rFonts w:cs="Times New Roman"/>
              </w:rPr>
            </w:pPr>
            <w:r>
              <w:t>7</w:t>
            </w:r>
            <w:r>
              <w:rPr>
                <w:rFonts w:hint="eastAsia" w:cs="宋体"/>
              </w:rPr>
              <w:t>．研发</w:t>
            </w:r>
            <w:r>
              <w:t>2</w:t>
            </w:r>
            <w:r>
              <w:rPr>
                <w:rFonts w:hint="eastAsia" w:cs="宋体"/>
              </w:rPr>
              <w:t>种以上中医健康状态辨识评估设备或中医健康干预技术产品。</w:t>
            </w:r>
          </w:p>
        </w:tc>
        <w:tc>
          <w:tcPr>
            <w:tcW w:w="2070" w:type="dxa"/>
            <w:vAlign w:val="center"/>
          </w:tcPr>
          <w:p>
            <w:pPr>
              <w:spacing w:line="360" w:lineRule="exact"/>
              <w:rPr>
                <w:rFonts w:cs="Times New Roman"/>
              </w:rPr>
            </w:pPr>
            <w:r>
              <w:rPr>
                <w:rFonts w:hint="eastAsia" w:cs="宋体"/>
              </w:rPr>
              <w:t>查阅相关资料；实地考察。</w:t>
            </w:r>
          </w:p>
        </w:tc>
        <w:tc>
          <w:tcPr>
            <w:tcW w:w="5715" w:type="dxa"/>
            <w:vAlign w:val="center"/>
          </w:tcPr>
          <w:p>
            <w:pPr>
              <w:spacing w:line="360" w:lineRule="exact"/>
              <w:rPr>
                <w:rFonts w:cs="Times New Roman"/>
              </w:rPr>
            </w:pPr>
            <w:r>
              <w:rPr>
                <w:rFonts w:hint="eastAsia" w:cs="宋体"/>
              </w:rPr>
              <w:t>未研发，不得分；研发产品少于</w:t>
            </w:r>
            <w:r>
              <w:t>2</w:t>
            </w:r>
            <w:r>
              <w:rPr>
                <w:rFonts w:hint="eastAsia" w:cs="宋体"/>
              </w:rPr>
              <w:t>种（系列产品算</w:t>
            </w:r>
            <w:r>
              <w:t>1</w:t>
            </w:r>
            <w:r>
              <w:rPr>
                <w:rFonts w:hint="eastAsia" w:cs="宋体"/>
              </w:rPr>
              <w:t>种，如养生调养茶饮），扣</w:t>
            </w:r>
            <w:r>
              <w:t>3</w:t>
            </w:r>
            <w:r>
              <w:rPr>
                <w:rFonts w:hint="eastAsia" w:cs="宋体"/>
              </w:rPr>
              <w:t>分，多于</w:t>
            </w:r>
            <w:r>
              <w:t>4</w:t>
            </w:r>
            <w:r>
              <w:rPr>
                <w:rFonts w:hint="eastAsia" w:cs="宋体"/>
              </w:rPr>
              <w:t>种，加</w:t>
            </w:r>
            <w:r>
              <w:t>2</w:t>
            </w:r>
            <w:r>
              <w:rPr>
                <w:rFonts w:hint="eastAsia" w:cs="宋体"/>
              </w:rPr>
              <w:t>分，多于</w:t>
            </w:r>
            <w:r>
              <w:t>6</w:t>
            </w:r>
            <w:r>
              <w:rPr>
                <w:rFonts w:hint="eastAsia" w:cs="宋体"/>
              </w:rPr>
              <w:t>种，加</w:t>
            </w:r>
            <w:r>
              <w:t>4</w:t>
            </w:r>
            <w:r>
              <w:rPr>
                <w:rFonts w:hint="eastAsia" w:cs="宋体"/>
              </w:rPr>
              <w:t>分。</w:t>
            </w:r>
          </w:p>
        </w:tc>
        <w:tc>
          <w:tcPr>
            <w:tcW w:w="1260" w:type="dxa"/>
            <w:vAlign w:val="center"/>
          </w:tcPr>
          <w:p>
            <w:pPr>
              <w:spacing w:line="360" w:lineRule="exact"/>
              <w:jc w:val="center"/>
            </w:pPr>
            <w:r>
              <w:t>6</w:t>
            </w:r>
          </w:p>
        </w:tc>
      </w:tr>
    </w:tbl>
    <w:p>
      <w:pPr>
        <w:spacing w:line="360" w:lineRule="exact"/>
        <w:rPr>
          <w:rFonts w:cs="Times New Roman"/>
        </w:rPr>
      </w:pPr>
    </w:p>
    <w:p>
      <w:pPr>
        <w:numPr>
          <w:ilvl w:val="0"/>
          <w:numId w:val="1"/>
        </w:numPr>
        <w:spacing w:line="360" w:lineRule="exact"/>
        <w:rPr>
          <w:rFonts w:hint="eastAsia" w:cs="宋体"/>
          <w:b/>
          <w:bCs/>
          <w:sz w:val="24"/>
          <w:szCs w:val="24"/>
        </w:rPr>
      </w:pPr>
      <w:r>
        <w:rPr>
          <w:rFonts w:hint="eastAsia" w:cs="宋体"/>
          <w:b/>
          <w:bCs/>
          <w:sz w:val="24"/>
          <w:szCs w:val="24"/>
        </w:rPr>
        <w:t>教学科研（</w:t>
      </w:r>
      <w:r>
        <w:rPr>
          <w:b/>
          <w:bCs/>
          <w:sz w:val="24"/>
          <w:szCs w:val="24"/>
        </w:rPr>
        <w:t>9</w:t>
      </w:r>
      <w:r>
        <w:rPr>
          <w:rFonts w:hint="eastAsia" w:cs="宋体"/>
          <w:b/>
          <w:bCs/>
          <w:sz w:val="24"/>
          <w:szCs w:val="24"/>
        </w:rPr>
        <w:t>分）</w:t>
      </w:r>
    </w:p>
    <w:p>
      <w:pPr>
        <w:numPr>
          <w:numId w:val="0"/>
        </w:numPr>
        <w:spacing w:line="360" w:lineRule="exact"/>
        <w:rPr>
          <w:rFonts w:hint="eastAsia" w:cs="宋体"/>
          <w:b/>
          <w:bCs/>
          <w:sz w:val="24"/>
          <w:szCs w:val="24"/>
        </w:rPr>
      </w:pPr>
    </w:p>
    <w:tbl>
      <w:tblPr>
        <w:tblW w:w="1422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183"/>
        <w:gridCol w:w="2100"/>
        <w:gridCol w:w="567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95" w:hRule="atLeast"/>
        </w:trPr>
        <w:tc>
          <w:tcPr>
            <w:tcW w:w="5183" w:type="dxa"/>
            <w:vAlign w:val="top"/>
          </w:tcPr>
          <w:p>
            <w:pPr>
              <w:spacing w:line="360" w:lineRule="exact"/>
            </w:pPr>
            <w:r>
              <w:t>1</w:t>
            </w:r>
            <w:r>
              <w:rPr>
                <w:rFonts w:hint="eastAsia" w:cs="宋体"/>
              </w:rPr>
              <w:t>．承担或参与的省部级以上“治未病”服务相关科研课题≥</w:t>
            </w:r>
            <w:r>
              <w:t>2</w:t>
            </w:r>
            <w:r>
              <w:rPr>
                <w:rFonts w:hint="eastAsia" w:cs="宋体"/>
              </w:rPr>
              <w:t>项。</w:t>
            </w:r>
            <w:r>
              <w:t xml:space="preserve"> </w:t>
            </w:r>
          </w:p>
        </w:tc>
        <w:tc>
          <w:tcPr>
            <w:tcW w:w="2100" w:type="dxa"/>
            <w:vAlign w:val="top"/>
          </w:tcPr>
          <w:p>
            <w:pPr>
              <w:spacing w:line="360" w:lineRule="exact"/>
              <w:rPr>
                <w:rFonts w:cs="Times New Roman"/>
              </w:rPr>
            </w:pPr>
            <w:r>
              <w:rPr>
                <w:rFonts w:hint="eastAsia" w:cs="宋体"/>
              </w:rPr>
              <w:t>查阅相关资料；实地考察。</w:t>
            </w:r>
          </w:p>
        </w:tc>
        <w:tc>
          <w:tcPr>
            <w:tcW w:w="5670" w:type="dxa"/>
            <w:vAlign w:val="top"/>
          </w:tcPr>
          <w:p>
            <w:pPr>
              <w:spacing w:line="360" w:lineRule="exact"/>
              <w:rPr>
                <w:rFonts w:cs="Times New Roman"/>
              </w:rPr>
            </w:pPr>
            <w:r>
              <w:rPr>
                <w:rFonts w:hint="eastAsia" w:cs="宋体"/>
              </w:rPr>
              <w:t>承担或参与的省部级以上科研课题不足</w:t>
            </w:r>
            <w:r>
              <w:t>2</w:t>
            </w:r>
            <w:r>
              <w:rPr>
                <w:rFonts w:hint="eastAsia" w:cs="宋体"/>
              </w:rPr>
              <w:t>项，每少</w:t>
            </w:r>
            <w:r>
              <w:t>1</w:t>
            </w:r>
            <w:r>
              <w:rPr>
                <w:rFonts w:hint="eastAsia" w:cs="宋体"/>
              </w:rPr>
              <w:t>项，扣</w:t>
            </w:r>
            <w:r>
              <w:t>1.5</w:t>
            </w:r>
            <w:r>
              <w:rPr>
                <w:rFonts w:hint="eastAsia" w:cs="宋体"/>
              </w:rPr>
              <w:t>分；多于</w:t>
            </w:r>
            <w:r>
              <w:t>2</w:t>
            </w:r>
            <w:r>
              <w:rPr>
                <w:rFonts w:hint="eastAsia" w:cs="宋体"/>
              </w:rPr>
              <w:t>项，每多</w:t>
            </w:r>
            <w:r>
              <w:t>1</w:t>
            </w:r>
            <w:r>
              <w:rPr>
                <w:rFonts w:hint="eastAsia" w:cs="宋体"/>
              </w:rPr>
              <w:t>项，加</w:t>
            </w:r>
            <w:r>
              <w:t>2</w:t>
            </w:r>
            <w:r>
              <w:rPr>
                <w:rFonts w:hint="eastAsia" w:cs="宋体"/>
              </w:rPr>
              <w:t>分。</w:t>
            </w:r>
          </w:p>
        </w:tc>
        <w:tc>
          <w:tcPr>
            <w:tcW w:w="1275" w:type="dxa"/>
            <w:vAlign w:val="center"/>
          </w:tcPr>
          <w:p>
            <w:pPr>
              <w:spacing w:line="360" w:lineRule="exact"/>
              <w:jc w:val="cente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13" w:hRule="atLeast"/>
        </w:trPr>
        <w:tc>
          <w:tcPr>
            <w:tcW w:w="5183" w:type="dxa"/>
            <w:vAlign w:val="top"/>
          </w:tcPr>
          <w:p>
            <w:pPr>
              <w:spacing w:line="360" w:lineRule="exact"/>
              <w:rPr>
                <w:rFonts w:cs="Times New Roman"/>
              </w:rPr>
            </w:pPr>
            <w:r>
              <w:t>2</w:t>
            </w:r>
            <w:r>
              <w:rPr>
                <w:rFonts w:hint="eastAsia" w:cs="宋体"/>
              </w:rPr>
              <w:t>．专科建设周期内每年度应有以中医“治未病”为主题的学术论文在国内核心期刊或国际刊物上发表，或出版专著。</w:t>
            </w:r>
          </w:p>
        </w:tc>
        <w:tc>
          <w:tcPr>
            <w:tcW w:w="2100" w:type="dxa"/>
            <w:vAlign w:val="top"/>
          </w:tcPr>
          <w:p>
            <w:pPr>
              <w:spacing w:line="360" w:lineRule="exact"/>
              <w:rPr>
                <w:rFonts w:cs="Times New Roman"/>
              </w:rPr>
            </w:pPr>
            <w:r>
              <w:rPr>
                <w:rFonts w:hint="eastAsia" w:cs="宋体"/>
              </w:rPr>
              <w:t>查阅相关资料。</w:t>
            </w:r>
          </w:p>
        </w:tc>
        <w:tc>
          <w:tcPr>
            <w:tcW w:w="5670" w:type="dxa"/>
            <w:vAlign w:val="top"/>
          </w:tcPr>
          <w:p>
            <w:pPr>
              <w:spacing w:line="360" w:lineRule="exact"/>
              <w:rPr>
                <w:rFonts w:cs="Times New Roman"/>
              </w:rPr>
            </w:pPr>
            <w:r>
              <w:rPr>
                <w:rFonts w:hint="eastAsia" w:cs="宋体"/>
              </w:rPr>
              <w:t>未发表学术论文，扣</w:t>
            </w:r>
            <w:r>
              <w:t>1.5</w:t>
            </w:r>
            <w:r>
              <w:rPr>
                <w:rFonts w:hint="eastAsia" w:cs="宋体"/>
              </w:rPr>
              <w:t>分；未出版专著，扣</w:t>
            </w:r>
            <w:r>
              <w:t>1.5</w:t>
            </w:r>
            <w:r>
              <w:rPr>
                <w:rFonts w:hint="eastAsia" w:cs="宋体"/>
              </w:rPr>
              <w:t>分。发表学术论文</w:t>
            </w:r>
            <w:r>
              <w:t>1</w:t>
            </w:r>
            <w:r>
              <w:rPr>
                <w:rFonts w:hint="eastAsia" w:cs="宋体"/>
              </w:rPr>
              <w:t>篇以上，每多</w:t>
            </w:r>
            <w:r>
              <w:t>1</w:t>
            </w:r>
            <w:r>
              <w:rPr>
                <w:rFonts w:hint="eastAsia" w:cs="宋体"/>
              </w:rPr>
              <w:t>篇，加</w:t>
            </w:r>
            <w:r>
              <w:t>1</w:t>
            </w:r>
            <w:r>
              <w:rPr>
                <w:rFonts w:hint="eastAsia" w:cs="宋体"/>
              </w:rPr>
              <w:t>分；出版专著</w:t>
            </w:r>
            <w:r>
              <w:t>1</w:t>
            </w:r>
            <w:r>
              <w:rPr>
                <w:rFonts w:hint="eastAsia" w:cs="宋体"/>
              </w:rPr>
              <w:t>项以上，每多</w:t>
            </w:r>
            <w:r>
              <w:t>1</w:t>
            </w:r>
            <w:r>
              <w:rPr>
                <w:rFonts w:hint="eastAsia" w:cs="宋体"/>
              </w:rPr>
              <w:t>篇，加</w:t>
            </w:r>
            <w:r>
              <w:t>2</w:t>
            </w:r>
            <w:r>
              <w:rPr>
                <w:rFonts w:hint="eastAsia" w:cs="宋体"/>
              </w:rPr>
              <w:t>分。</w:t>
            </w:r>
          </w:p>
        </w:tc>
        <w:tc>
          <w:tcPr>
            <w:tcW w:w="1275" w:type="dxa"/>
            <w:vAlign w:val="center"/>
          </w:tcPr>
          <w:p>
            <w:pPr>
              <w:spacing w:line="360" w:lineRule="exact"/>
              <w:jc w:val="cente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26" w:hRule="atLeast"/>
        </w:trPr>
        <w:tc>
          <w:tcPr>
            <w:tcW w:w="5183" w:type="dxa"/>
            <w:vAlign w:val="top"/>
          </w:tcPr>
          <w:p>
            <w:pPr>
              <w:spacing w:line="360" w:lineRule="exact"/>
              <w:rPr>
                <w:rFonts w:cs="Times New Roman"/>
              </w:rPr>
            </w:pPr>
            <w:r>
              <w:t>3</w:t>
            </w:r>
            <w:r>
              <w:rPr>
                <w:rFonts w:hint="eastAsia" w:cs="宋体"/>
              </w:rPr>
              <w:t>．每年举办省级以上以中医“治未病”为主要内容的中医药继续教育项目专题培训班。</w:t>
            </w:r>
          </w:p>
        </w:tc>
        <w:tc>
          <w:tcPr>
            <w:tcW w:w="2100" w:type="dxa"/>
            <w:vAlign w:val="top"/>
          </w:tcPr>
          <w:p>
            <w:pPr>
              <w:spacing w:line="360" w:lineRule="exact"/>
              <w:rPr>
                <w:rFonts w:cs="Times New Roman"/>
              </w:rPr>
            </w:pPr>
            <w:r>
              <w:rPr>
                <w:rFonts w:hint="eastAsia" w:cs="宋体"/>
              </w:rPr>
              <w:t>查阅相关资料。</w:t>
            </w:r>
          </w:p>
        </w:tc>
        <w:tc>
          <w:tcPr>
            <w:tcW w:w="5670" w:type="dxa"/>
            <w:vAlign w:val="top"/>
          </w:tcPr>
          <w:p>
            <w:pPr>
              <w:spacing w:line="360" w:lineRule="exact"/>
              <w:rPr>
                <w:rFonts w:cs="Times New Roman"/>
              </w:rPr>
            </w:pPr>
            <w:r>
              <w:rPr>
                <w:rFonts w:hint="eastAsia" w:cs="宋体"/>
              </w:rPr>
              <w:t>未举办培训班，不得分。举办培训班超过</w:t>
            </w:r>
            <w:r>
              <w:t>2</w:t>
            </w:r>
            <w:r>
              <w:rPr>
                <w:rFonts w:hint="eastAsia" w:cs="宋体"/>
              </w:rPr>
              <w:t>次的，每多</w:t>
            </w:r>
            <w:r>
              <w:t>1</w:t>
            </w:r>
            <w:r>
              <w:rPr>
                <w:rFonts w:hint="eastAsia" w:cs="宋体"/>
              </w:rPr>
              <w:t>次，加</w:t>
            </w:r>
            <w:r>
              <w:t>2</w:t>
            </w:r>
            <w:r>
              <w:rPr>
                <w:rFonts w:hint="eastAsia" w:cs="宋体"/>
              </w:rPr>
              <w:t>分。</w:t>
            </w:r>
          </w:p>
        </w:tc>
        <w:tc>
          <w:tcPr>
            <w:tcW w:w="1275" w:type="dxa"/>
            <w:vAlign w:val="center"/>
          </w:tcPr>
          <w:p>
            <w:pPr>
              <w:spacing w:line="360" w:lineRule="exact"/>
              <w:jc w:val="center"/>
            </w:pPr>
            <w:r>
              <w:t>3</w:t>
            </w:r>
          </w:p>
        </w:tc>
      </w:tr>
    </w:tbl>
    <w:p>
      <w:pPr>
        <w:spacing w:line="360" w:lineRule="exact"/>
        <w:rPr>
          <w:rFonts w:cs="Times New Roman"/>
        </w:rPr>
      </w:pPr>
    </w:p>
    <w:p>
      <w:pPr>
        <w:numPr>
          <w:ilvl w:val="0"/>
          <w:numId w:val="1"/>
        </w:numPr>
        <w:spacing w:line="360" w:lineRule="exact"/>
        <w:rPr>
          <w:rFonts w:hint="eastAsia" w:cs="宋体"/>
          <w:b/>
          <w:bCs/>
          <w:sz w:val="24"/>
          <w:szCs w:val="24"/>
        </w:rPr>
      </w:pPr>
      <w:r>
        <w:rPr>
          <w:rFonts w:hint="eastAsia" w:cs="宋体"/>
          <w:b/>
          <w:bCs/>
          <w:sz w:val="24"/>
          <w:szCs w:val="24"/>
        </w:rPr>
        <w:t>文化建设（</w:t>
      </w:r>
      <w:r>
        <w:rPr>
          <w:b/>
          <w:bCs/>
          <w:sz w:val="24"/>
          <w:szCs w:val="24"/>
        </w:rPr>
        <w:t>5</w:t>
      </w:r>
      <w:r>
        <w:rPr>
          <w:rFonts w:hint="eastAsia" w:cs="宋体"/>
          <w:b/>
          <w:bCs/>
          <w:sz w:val="24"/>
          <w:szCs w:val="24"/>
        </w:rPr>
        <w:t>分）</w:t>
      </w:r>
    </w:p>
    <w:p>
      <w:pPr>
        <w:numPr>
          <w:numId w:val="0"/>
        </w:numPr>
        <w:spacing w:line="360" w:lineRule="exact"/>
        <w:rPr>
          <w:rFonts w:hint="eastAsia" w:cs="宋体"/>
          <w:b/>
          <w:bCs/>
          <w:sz w:val="24"/>
          <w:szCs w:val="24"/>
        </w:rPr>
      </w:pPr>
    </w:p>
    <w:tbl>
      <w:tblPr>
        <w:tblW w:w="1425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198"/>
        <w:gridCol w:w="2040"/>
        <w:gridCol w:w="5715"/>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13" w:hRule="atLeast"/>
        </w:trPr>
        <w:tc>
          <w:tcPr>
            <w:tcW w:w="5198" w:type="dxa"/>
            <w:vAlign w:val="top"/>
          </w:tcPr>
          <w:p>
            <w:pPr>
              <w:spacing w:line="360" w:lineRule="exact"/>
              <w:rPr>
                <w:rFonts w:cs="Times New Roman"/>
              </w:rPr>
            </w:pPr>
            <w:r>
              <w:t>1</w:t>
            </w:r>
            <w:r>
              <w:rPr>
                <w:rFonts w:hint="eastAsia" w:cs="宋体"/>
              </w:rPr>
              <w:t>．环境形象建设体现中医药文化特点，在科室、院内有关区域加强中医“治未病”理念和中医药养生保健知识宣传。</w:t>
            </w:r>
          </w:p>
        </w:tc>
        <w:tc>
          <w:tcPr>
            <w:tcW w:w="2040" w:type="dxa"/>
            <w:vAlign w:val="top"/>
          </w:tcPr>
          <w:p>
            <w:pPr>
              <w:spacing w:line="360" w:lineRule="exact"/>
              <w:rPr>
                <w:rFonts w:cs="Times New Roman"/>
              </w:rPr>
            </w:pPr>
            <w:r>
              <w:rPr>
                <w:rFonts w:hint="eastAsia" w:cs="宋体"/>
              </w:rPr>
              <w:t>查阅相关资料；实地考察。</w:t>
            </w:r>
          </w:p>
        </w:tc>
        <w:tc>
          <w:tcPr>
            <w:tcW w:w="5715" w:type="dxa"/>
            <w:vAlign w:val="top"/>
          </w:tcPr>
          <w:p>
            <w:pPr>
              <w:spacing w:line="360" w:lineRule="exact"/>
              <w:rPr>
                <w:rFonts w:cs="Times New Roman"/>
              </w:rPr>
            </w:pPr>
            <w:r>
              <w:rPr>
                <w:rFonts w:hint="eastAsia" w:cs="宋体"/>
              </w:rPr>
              <w:t>未进行中医“治未病”理念和中医药养生保健知识的宣传，不得分。</w:t>
            </w:r>
          </w:p>
        </w:tc>
        <w:tc>
          <w:tcPr>
            <w:tcW w:w="1305" w:type="dxa"/>
            <w:vAlign w:val="center"/>
          </w:tcPr>
          <w:p>
            <w:pPr>
              <w:spacing w:line="360" w:lineRule="exact"/>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13" w:hRule="atLeast"/>
        </w:trPr>
        <w:tc>
          <w:tcPr>
            <w:tcW w:w="5198" w:type="dxa"/>
            <w:vAlign w:val="top"/>
          </w:tcPr>
          <w:p>
            <w:pPr>
              <w:spacing w:line="360" w:lineRule="exact"/>
              <w:rPr>
                <w:rFonts w:cs="Times New Roman"/>
              </w:rPr>
            </w:pPr>
            <w:r>
              <w:t>2</w:t>
            </w:r>
            <w:r>
              <w:rPr>
                <w:rFonts w:hint="eastAsia" w:cs="宋体"/>
              </w:rPr>
              <w:t>．注重文化氛围营造，开展多种形式的健康教育活动。</w:t>
            </w:r>
          </w:p>
        </w:tc>
        <w:tc>
          <w:tcPr>
            <w:tcW w:w="2040" w:type="dxa"/>
            <w:vAlign w:val="top"/>
          </w:tcPr>
          <w:p>
            <w:pPr>
              <w:spacing w:line="360" w:lineRule="exact"/>
              <w:rPr>
                <w:rFonts w:cs="Times New Roman"/>
              </w:rPr>
            </w:pPr>
            <w:r>
              <w:rPr>
                <w:rFonts w:hint="eastAsia" w:cs="宋体"/>
              </w:rPr>
              <w:t>查阅相关资料；实地考察。</w:t>
            </w:r>
          </w:p>
        </w:tc>
        <w:tc>
          <w:tcPr>
            <w:tcW w:w="5715" w:type="dxa"/>
            <w:vAlign w:val="top"/>
          </w:tcPr>
          <w:p>
            <w:pPr>
              <w:spacing w:line="360" w:lineRule="exact"/>
              <w:rPr>
                <w:rFonts w:cs="Times New Roman"/>
              </w:rPr>
            </w:pPr>
            <w:r>
              <w:rPr>
                <w:rFonts w:hint="eastAsia" w:cs="宋体"/>
              </w:rPr>
              <w:t>未开展健康教育活动，不得分；开展现场宣讲咨询活动，发放科普养生资料，在医院网站设立中医药养生保健专栏，录制专题节目等活动，</w:t>
            </w:r>
            <w:r>
              <w:t>4</w:t>
            </w:r>
            <w:r>
              <w:rPr>
                <w:rFonts w:hint="eastAsia" w:cs="宋体"/>
              </w:rPr>
              <w:t>种以下每少</w:t>
            </w:r>
            <w:r>
              <w:t>1</w:t>
            </w:r>
            <w:r>
              <w:rPr>
                <w:rFonts w:hint="eastAsia" w:cs="宋体"/>
              </w:rPr>
              <w:t>种扣</w:t>
            </w:r>
            <w:r>
              <w:t>1</w:t>
            </w:r>
            <w:r>
              <w:rPr>
                <w:rFonts w:hint="eastAsia" w:cs="宋体"/>
              </w:rPr>
              <w:t>分，</w:t>
            </w:r>
            <w:r>
              <w:t>4</w:t>
            </w:r>
            <w:r>
              <w:rPr>
                <w:rFonts w:hint="eastAsia" w:cs="宋体"/>
              </w:rPr>
              <w:t>种以上每多</w:t>
            </w:r>
            <w:r>
              <w:t>1</w:t>
            </w:r>
            <w:r>
              <w:rPr>
                <w:rFonts w:hint="eastAsia" w:cs="宋体"/>
              </w:rPr>
              <w:t>种加</w:t>
            </w:r>
            <w:r>
              <w:t>1</w:t>
            </w:r>
            <w:r>
              <w:rPr>
                <w:rFonts w:hint="eastAsia" w:cs="宋体"/>
              </w:rPr>
              <w:t>分。</w:t>
            </w:r>
          </w:p>
        </w:tc>
        <w:tc>
          <w:tcPr>
            <w:tcW w:w="1305" w:type="dxa"/>
            <w:vAlign w:val="center"/>
          </w:tcPr>
          <w:p>
            <w:pPr>
              <w:spacing w:line="360" w:lineRule="exact"/>
              <w:jc w:val="center"/>
            </w:pPr>
            <w:r>
              <w:t>3</w:t>
            </w:r>
          </w:p>
        </w:tc>
      </w:tr>
    </w:tbl>
    <w:p>
      <w:pPr>
        <w:numPr>
          <w:ilvl w:val="0"/>
          <w:numId w:val="1"/>
        </w:numPr>
        <w:spacing w:line="360" w:lineRule="exact"/>
        <w:rPr>
          <w:rFonts w:hint="eastAsia" w:cs="宋体"/>
          <w:b/>
          <w:bCs/>
          <w:sz w:val="24"/>
          <w:szCs w:val="24"/>
        </w:rPr>
      </w:pPr>
      <w:r>
        <w:rPr>
          <w:rFonts w:hint="eastAsia" w:cs="宋体"/>
          <w:b/>
          <w:bCs/>
          <w:sz w:val="24"/>
          <w:szCs w:val="24"/>
        </w:rPr>
        <w:t>政策保障（</w:t>
      </w:r>
      <w:r>
        <w:rPr>
          <w:b/>
          <w:bCs/>
          <w:sz w:val="24"/>
          <w:szCs w:val="24"/>
        </w:rPr>
        <w:t>10</w:t>
      </w:r>
      <w:r>
        <w:rPr>
          <w:rFonts w:hint="eastAsia" w:cs="宋体"/>
          <w:b/>
          <w:bCs/>
          <w:sz w:val="24"/>
          <w:szCs w:val="24"/>
        </w:rPr>
        <w:t>分）</w:t>
      </w:r>
    </w:p>
    <w:p>
      <w:pPr>
        <w:numPr>
          <w:numId w:val="0"/>
        </w:numPr>
        <w:spacing w:line="360" w:lineRule="exact"/>
        <w:rPr>
          <w:rFonts w:hint="eastAsia" w:cs="宋体"/>
          <w:b/>
          <w:bCs/>
          <w:sz w:val="24"/>
          <w:szCs w:val="24"/>
        </w:rPr>
      </w:pPr>
      <w:bookmarkStart w:id="0" w:name="_GoBack"/>
      <w:bookmarkEnd w:id="0"/>
    </w:p>
    <w:tbl>
      <w:tblPr>
        <w:tblW w:w="1425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168"/>
        <w:gridCol w:w="2085"/>
        <w:gridCol w:w="5700"/>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13" w:hRule="atLeast"/>
        </w:trPr>
        <w:tc>
          <w:tcPr>
            <w:tcW w:w="5168" w:type="dxa"/>
            <w:vAlign w:val="top"/>
          </w:tcPr>
          <w:p>
            <w:pPr>
              <w:spacing w:line="360" w:lineRule="exact"/>
              <w:rPr>
                <w:rFonts w:cs="Times New Roman"/>
              </w:rPr>
            </w:pPr>
            <w:r>
              <w:t>1</w:t>
            </w:r>
            <w:r>
              <w:rPr>
                <w:rFonts w:hint="eastAsia" w:cs="宋体"/>
              </w:rPr>
              <w:t>．医院重视</w:t>
            </w:r>
            <w:r>
              <w:t>”</w:t>
            </w:r>
            <w:r>
              <w:rPr>
                <w:rFonts w:hint="eastAsia" w:cs="宋体"/>
              </w:rPr>
              <w:t>治未病</w:t>
            </w:r>
            <w:r>
              <w:t>”</w:t>
            </w:r>
            <w:r>
              <w:rPr>
                <w:rFonts w:hint="eastAsia" w:cs="宋体"/>
              </w:rPr>
              <w:t>工作</w:t>
            </w:r>
            <w:r>
              <w:t>,</w:t>
            </w:r>
            <w:r>
              <w:rPr>
                <w:rFonts w:hint="eastAsia" w:cs="宋体"/>
              </w:rPr>
              <w:t>院级领导分管</w:t>
            </w:r>
            <w:r>
              <w:t>”</w:t>
            </w:r>
            <w:r>
              <w:rPr>
                <w:rFonts w:hint="eastAsia" w:cs="宋体"/>
              </w:rPr>
              <w:t>治未病</w:t>
            </w:r>
            <w:r>
              <w:t>”</w:t>
            </w:r>
            <w:r>
              <w:rPr>
                <w:rFonts w:hint="eastAsia" w:cs="宋体"/>
              </w:rPr>
              <w:t>工作，医院制定</w:t>
            </w:r>
            <w:r>
              <w:t>”</w:t>
            </w:r>
            <w:r>
              <w:rPr>
                <w:rFonts w:hint="eastAsia" w:cs="宋体"/>
              </w:rPr>
              <w:t>治未病</w:t>
            </w:r>
            <w:r>
              <w:t>”</w:t>
            </w:r>
            <w:r>
              <w:rPr>
                <w:rFonts w:hint="eastAsia" w:cs="宋体"/>
              </w:rPr>
              <w:t>专科建设年度工作计划及具体措施并落实。</w:t>
            </w:r>
          </w:p>
        </w:tc>
        <w:tc>
          <w:tcPr>
            <w:tcW w:w="2085" w:type="dxa"/>
            <w:vAlign w:val="top"/>
          </w:tcPr>
          <w:p>
            <w:pPr>
              <w:spacing w:line="360" w:lineRule="exact"/>
              <w:rPr>
                <w:rFonts w:cs="Times New Roman"/>
              </w:rPr>
            </w:pPr>
            <w:r>
              <w:rPr>
                <w:rFonts w:hint="eastAsia" w:cs="宋体"/>
              </w:rPr>
              <w:t>查阅相关资料；实地考察。</w:t>
            </w:r>
          </w:p>
        </w:tc>
        <w:tc>
          <w:tcPr>
            <w:tcW w:w="5700" w:type="dxa"/>
            <w:vAlign w:val="top"/>
          </w:tcPr>
          <w:p>
            <w:pPr>
              <w:spacing w:line="360" w:lineRule="exact"/>
              <w:rPr>
                <w:rFonts w:cs="Times New Roman"/>
              </w:rPr>
            </w:pPr>
            <w:r>
              <w:rPr>
                <w:rFonts w:hint="eastAsia" w:cs="宋体"/>
              </w:rPr>
              <w:t>无院级领导分管</w:t>
            </w:r>
            <w:r>
              <w:t>”</w:t>
            </w:r>
            <w:r>
              <w:rPr>
                <w:rFonts w:hint="eastAsia" w:cs="宋体"/>
              </w:rPr>
              <w:t>治未病</w:t>
            </w:r>
            <w:r>
              <w:t>”</w:t>
            </w:r>
            <w:r>
              <w:rPr>
                <w:rFonts w:hint="eastAsia" w:cs="宋体"/>
              </w:rPr>
              <w:t>工作，不得分；未制定</w:t>
            </w:r>
            <w:r>
              <w:t>”</w:t>
            </w:r>
            <w:r>
              <w:rPr>
                <w:rFonts w:hint="eastAsia" w:cs="宋体"/>
              </w:rPr>
              <w:t>治未病</w:t>
            </w:r>
            <w:r>
              <w:t>”</w:t>
            </w:r>
            <w:r>
              <w:rPr>
                <w:rFonts w:hint="eastAsia" w:cs="宋体"/>
              </w:rPr>
              <w:t>专科建设年度工作计划及具体措施，不得分；部分计划措施未落实，扣</w:t>
            </w:r>
            <w:r>
              <w:t>1</w:t>
            </w:r>
            <w:r>
              <w:rPr>
                <w:rFonts w:hint="eastAsia" w:cs="宋体"/>
              </w:rPr>
              <w:t>分。</w:t>
            </w:r>
          </w:p>
        </w:tc>
        <w:tc>
          <w:tcPr>
            <w:tcW w:w="1305" w:type="dxa"/>
            <w:vAlign w:val="center"/>
          </w:tcPr>
          <w:p>
            <w:pPr>
              <w:spacing w:line="360" w:lineRule="exact"/>
              <w:jc w:val="center"/>
              <w:rPr>
                <w:b w:val="0"/>
                <w:bCs w:val="0"/>
              </w:rPr>
            </w:pPr>
            <w:r>
              <w:rPr>
                <w:b w:val="0"/>
                <w:bCs w:val="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13" w:hRule="atLeast"/>
        </w:trPr>
        <w:tc>
          <w:tcPr>
            <w:tcW w:w="5168" w:type="dxa"/>
            <w:vAlign w:val="top"/>
          </w:tcPr>
          <w:p>
            <w:pPr>
              <w:spacing w:line="360" w:lineRule="exact"/>
              <w:rPr>
                <w:rFonts w:cs="Times New Roman"/>
              </w:rPr>
            </w:pPr>
            <w:r>
              <w:t>2</w:t>
            </w:r>
            <w:r>
              <w:rPr>
                <w:rFonts w:hint="eastAsia" w:cs="宋体"/>
              </w:rPr>
              <w:t>．医院在人员收入分配制度中对</w:t>
            </w:r>
            <w:r>
              <w:t>”</w:t>
            </w:r>
            <w:r>
              <w:rPr>
                <w:rFonts w:hint="eastAsia" w:cs="宋体"/>
              </w:rPr>
              <w:t>治未病</w:t>
            </w:r>
            <w:r>
              <w:t>”</w:t>
            </w:r>
            <w:r>
              <w:rPr>
                <w:rFonts w:hint="eastAsia" w:cs="宋体"/>
              </w:rPr>
              <w:t>科予以扶持，保证</w:t>
            </w:r>
            <w:r>
              <w:t>”</w:t>
            </w:r>
            <w:r>
              <w:rPr>
                <w:rFonts w:hint="eastAsia" w:cs="宋体"/>
              </w:rPr>
              <w:t>治未病</w:t>
            </w:r>
            <w:r>
              <w:t>”</w:t>
            </w:r>
            <w:r>
              <w:rPr>
                <w:rFonts w:hint="eastAsia" w:cs="宋体"/>
              </w:rPr>
              <w:t>科人员收入不低于医院平均水平；在科室目标考核中建立激励机制，保证人员的积极性与稳定性，促进科室发展。</w:t>
            </w:r>
          </w:p>
        </w:tc>
        <w:tc>
          <w:tcPr>
            <w:tcW w:w="2085" w:type="dxa"/>
            <w:vAlign w:val="top"/>
          </w:tcPr>
          <w:p>
            <w:pPr>
              <w:spacing w:line="360" w:lineRule="exact"/>
              <w:rPr>
                <w:rFonts w:cs="Times New Roman"/>
              </w:rPr>
            </w:pPr>
            <w:r>
              <w:rPr>
                <w:rFonts w:hint="eastAsia" w:cs="宋体"/>
              </w:rPr>
              <w:t>查阅相关资料。</w:t>
            </w:r>
          </w:p>
        </w:tc>
        <w:tc>
          <w:tcPr>
            <w:tcW w:w="5700" w:type="dxa"/>
            <w:vAlign w:val="top"/>
          </w:tcPr>
          <w:p>
            <w:pPr>
              <w:spacing w:line="360" w:lineRule="exact"/>
              <w:rPr>
                <w:rFonts w:cs="Times New Roman"/>
              </w:rPr>
            </w:pPr>
            <w:r>
              <w:t>”</w:t>
            </w:r>
            <w:r>
              <w:rPr>
                <w:rFonts w:hint="eastAsia" w:cs="宋体"/>
              </w:rPr>
              <w:t>治未病</w:t>
            </w:r>
            <w:r>
              <w:t>”</w:t>
            </w:r>
            <w:r>
              <w:rPr>
                <w:rFonts w:hint="eastAsia" w:cs="宋体"/>
              </w:rPr>
              <w:t>科人员收入低于医院平均水平，不得分；未建立激励机制，扣</w:t>
            </w:r>
            <w:r>
              <w:t>2</w:t>
            </w:r>
            <w:r>
              <w:rPr>
                <w:rFonts w:hint="eastAsia" w:cs="宋体"/>
              </w:rPr>
              <w:t>分。</w:t>
            </w:r>
          </w:p>
        </w:tc>
        <w:tc>
          <w:tcPr>
            <w:tcW w:w="1305" w:type="dxa"/>
            <w:vAlign w:val="center"/>
          </w:tcPr>
          <w:p>
            <w:pPr>
              <w:spacing w:line="360" w:lineRule="exact"/>
              <w:jc w:val="center"/>
              <w:rPr>
                <w:b w:val="0"/>
                <w:bCs w:val="0"/>
              </w:rPr>
            </w:pPr>
            <w:r>
              <w:rPr>
                <w:b w:val="0"/>
                <w:bCs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13" w:hRule="atLeast"/>
        </w:trPr>
        <w:tc>
          <w:tcPr>
            <w:tcW w:w="5168" w:type="dxa"/>
            <w:vAlign w:val="top"/>
          </w:tcPr>
          <w:p>
            <w:pPr>
              <w:spacing w:line="360" w:lineRule="exact"/>
              <w:rPr>
                <w:rFonts w:cs="Times New Roman"/>
              </w:rPr>
            </w:pPr>
            <w:r>
              <w:t>3</w:t>
            </w:r>
            <w:r>
              <w:rPr>
                <w:rFonts w:hint="eastAsia" w:cs="宋体"/>
              </w:rPr>
              <w:t>．医院建立临床科室与“治未病”科相互协作机制，各相关临床专科选择合适的优势病种，联合“治未病”科介入疾病病前状态管理。</w:t>
            </w:r>
          </w:p>
        </w:tc>
        <w:tc>
          <w:tcPr>
            <w:tcW w:w="2085" w:type="dxa"/>
            <w:vAlign w:val="top"/>
          </w:tcPr>
          <w:p>
            <w:pPr>
              <w:spacing w:line="360" w:lineRule="exact"/>
              <w:rPr>
                <w:rFonts w:cs="Times New Roman"/>
              </w:rPr>
            </w:pPr>
            <w:r>
              <w:rPr>
                <w:rFonts w:hint="eastAsia" w:cs="宋体"/>
              </w:rPr>
              <w:t>查阅相关资料；实地考察。</w:t>
            </w:r>
          </w:p>
        </w:tc>
        <w:tc>
          <w:tcPr>
            <w:tcW w:w="5700" w:type="dxa"/>
            <w:vAlign w:val="top"/>
          </w:tcPr>
          <w:p>
            <w:pPr>
              <w:spacing w:line="360" w:lineRule="exact"/>
              <w:rPr>
                <w:rFonts w:cs="Times New Roman"/>
              </w:rPr>
            </w:pPr>
            <w:r>
              <w:rPr>
                <w:rFonts w:hint="eastAsia" w:cs="宋体"/>
              </w:rPr>
              <w:t>未建立临床科室与“治未病”科相互协作机制，不得分；协作机制未落实，扣</w:t>
            </w:r>
            <w:r>
              <w:t>2</w:t>
            </w:r>
            <w:r>
              <w:rPr>
                <w:rFonts w:hint="eastAsia" w:cs="宋体"/>
              </w:rPr>
              <w:t>分。</w:t>
            </w:r>
          </w:p>
        </w:tc>
        <w:tc>
          <w:tcPr>
            <w:tcW w:w="1305" w:type="dxa"/>
            <w:vAlign w:val="center"/>
          </w:tcPr>
          <w:p>
            <w:pPr>
              <w:spacing w:line="360" w:lineRule="exact"/>
              <w:jc w:val="center"/>
              <w:rPr>
                <w:b w:val="0"/>
                <w:bCs w:val="0"/>
              </w:rPr>
            </w:pPr>
            <w:r>
              <w:rPr>
                <w:b w:val="0"/>
                <w:bCs w:val="0"/>
              </w:rPr>
              <w:t>4</w:t>
            </w:r>
          </w:p>
        </w:tc>
      </w:tr>
    </w:tbl>
    <w:p>
      <w:pPr>
        <w:rPr>
          <w:rFonts w:cs="Times New Roman"/>
        </w:rPr>
      </w:pPr>
    </w:p>
    <w:p>
      <w:pPr>
        <w:rPr>
          <w:rFonts w:cs="Times New Roman"/>
        </w:rPr>
      </w:pPr>
    </w:p>
    <w:sectPr>
      <w:pgSz w:w="16838" w:h="11906" w:orient="landscape"/>
      <w:pgMar w:top="130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Calibri">
    <w:panose1 w:val="020F0502020204030204"/>
    <w:charset w:val="00"/>
    <w:family w:val="auto"/>
    <w:pitch w:val="default"/>
    <w:sig w:usb0="A00002EF" w:usb1="4000207B" w:usb2="00000000" w:usb3="00000000" w:csb0="2000009F" w:csb1="00000000"/>
  </w:font>
  <w:font w:name="Verdana">
    <w:panose1 w:val="020B0604030504040204"/>
    <w:charset w:val="00"/>
    <w:family w:val="auto"/>
    <w:pitch w:val="default"/>
    <w:sig w:usb0="00000287" w:usb1="00000000" w:usb2="0000000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14634698">
    <w:nsid w:val="54519CCA"/>
    <w:multiLevelType w:val="singleLevel"/>
    <w:tmpl w:val="54519CCA"/>
    <w:lvl w:ilvl="0" w:tentative="1">
      <w:start w:val="2"/>
      <w:numFmt w:val="chineseCounting"/>
      <w:suff w:val="nothing"/>
      <w:lvlText w:val="%1、"/>
      <w:lvlJc w:val="left"/>
    </w:lvl>
  </w:abstractNum>
  <w:num w:numId="1">
    <w:abstractNumId w:val="141463469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nhideWhenUsed="0"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nhideWhenUsed="0" w:uiPriority="99" w:name="Balloon Text"/>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iPriority w:val="99"/>
  </w:style>
  <w:style w:type="paragraph" w:styleId="2">
    <w:name w:val="Balloon Text"/>
    <w:basedOn w:val="1"/>
    <w:link w:val="10"/>
    <w:semiHidden/>
    <w:uiPriority w:val="99"/>
    <w:rPr>
      <w:sz w:val="18"/>
      <w:szCs w:val="18"/>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8"/>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paragraph" w:customStyle="1" w:styleId="7">
    <w:name w:val="Char Char3"/>
    <w:basedOn w:val="1"/>
    <w:uiPriority w:val="99"/>
    <w:pPr>
      <w:widowControl/>
      <w:spacing w:after="160" w:line="240" w:lineRule="exact"/>
      <w:jc w:val="left"/>
    </w:pPr>
    <w:rPr>
      <w:rFonts w:ascii="Verdana" w:hAnsi="Verdana" w:eastAsia="仿宋_GB2312" w:cs="Verdana"/>
      <w:kern w:val="0"/>
      <w:sz w:val="24"/>
      <w:szCs w:val="24"/>
      <w:lang w:eastAsia="en-US"/>
    </w:rPr>
  </w:style>
  <w:style w:type="character" w:customStyle="1" w:styleId="8">
    <w:name w:val="Header Char"/>
    <w:basedOn w:val="6"/>
    <w:link w:val="4"/>
    <w:locked/>
    <w:uiPriority w:val="99"/>
    <w:rPr>
      <w:sz w:val="18"/>
      <w:szCs w:val="18"/>
    </w:rPr>
  </w:style>
  <w:style w:type="character" w:customStyle="1" w:styleId="9">
    <w:name w:val="Footer Char"/>
    <w:basedOn w:val="6"/>
    <w:link w:val="3"/>
    <w:locked/>
    <w:uiPriority w:val="99"/>
    <w:rPr>
      <w:sz w:val="18"/>
      <w:szCs w:val="18"/>
    </w:rPr>
  </w:style>
  <w:style w:type="character" w:customStyle="1" w:styleId="10">
    <w:name w:val="Balloon Text Char"/>
    <w:basedOn w:val="6"/>
    <w:link w:val="2"/>
    <w:semiHidden/>
    <w:locked/>
    <w:uiPriority w:val="99"/>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citics</Company>
  <Pages>4</Pages>
  <Words>434</Words>
  <Characters>2480</Characters>
  <Lines>0</Lines>
  <Paragraphs>0</Paragraphs>
  <TotalTime>0</TotalTime>
  <ScaleCrop>false</ScaleCrop>
  <LinksUpToDate>false</LinksUpToDate>
  <CharactersWithSpaces>0</CharactersWithSpaces>
  <Application>WPS Office 个人版_9.1.0.4856_{F1E327BC-269C-435d-A152-05C5408002CA}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2014-10-11T07:49:00Z</dcterms:created>
  <dc:creator>解放</dc:creator>
  <cp:lastModifiedBy>pc</cp:lastModifiedBy>
  <cp:lastPrinted>2014-10-23T02:10:00Z</cp:lastPrinted>
  <dcterms:modified xsi:type="dcterms:W3CDTF">2014-10-30T02:03:26Z</dcterms:modified>
  <dc:title>附件6</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2052-9.1.0.4856</vt:lpwstr>
  </property>
</Properties>
</file>